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97F6DA" w14:textId="034A0F03" w:rsidR="000F518D" w:rsidRPr="000F518D" w:rsidRDefault="000F518D" w:rsidP="000F518D">
      <w:pPr>
        <w:spacing w:after="0" w:line="360" w:lineRule="auto"/>
        <w:jc w:val="center"/>
        <w:rPr>
          <w:rFonts w:ascii="Times New Roman" w:eastAsia="Times New Roman" w:hAnsi="Times New Roman" w:cs="Times New Roman"/>
          <w:b/>
          <w:sz w:val="24"/>
          <w:szCs w:val="24"/>
        </w:rPr>
      </w:pPr>
      <w:r w:rsidRPr="000F518D">
        <w:rPr>
          <w:rFonts w:ascii="Times New Roman" w:eastAsia="Times New Roman" w:hAnsi="Times New Roman" w:cs="Times New Roman"/>
          <w:b/>
          <w:sz w:val="24"/>
          <w:szCs w:val="24"/>
        </w:rPr>
        <w:t>PENGARUH GREEN ACCOUNTING TERHADAP PROFITABILITAS PADA PERUSAHAAN PERTAMBANGAN YANG TERDAFTAR DI BURSA EFEK INDONESIA PERIODE 2019-2023</w:t>
      </w:r>
    </w:p>
    <w:p w14:paraId="331F278E" w14:textId="77777777" w:rsidR="000F518D" w:rsidRDefault="000F518D" w:rsidP="000F518D">
      <w:pPr>
        <w:spacing w:after="0" w:line="360" w:lineRule="auto"/>
        <w:jc w:val="center"/>
        <w:rPr>
          <w:rFonts w:ascii="Times New Roman" w:eastAsia="Times New Roman" w:hAnsi="Times New Roman" w:cs="Times New Roman"/>
          <w:b/>
          <w:bCs/>
          <w:i/>
          <w:iCs/>
          <w:color w:val="000000"/>
          <w:sz w:val="24"/>
          <w:szCs w:val="24"/>
        </w:rPr>
      </w:pPr>
    </w:p>
    <w:p w14:paraId="433DF934" w14:textId="144B9851" w:rsidR="000F518D" w:rsidRPr="000F518D" w:rsidRDefault="000F518D" w:rsidP="000F518D">
      <w:pPr>
        <w:spacing w:after="0" w:line="360" w:lineRule="auto"/>
        <w:jc w:val="center"/>
        <w:rPr>
          <w:rFonts w:ascii="Times New Roman" w:hAnsi="Times New Roman" w:cs="Times New Roman"/>
          <w:b/>
          <w:bCs/>
          <w:sz w:val="24"/>
          <w:szCs w:val="24"/>
        </w:rPr>
      </w:pPr>
      <w:r w:rsidRPr="000F518D">
        <w:rPr>
          <w:rFonts w:ascii="Times New Roman" w:eastAsia="Times New Roman" w:hAnsi="Times New Roman" w:cs="Times New Roman"/>
          <w:b/>
          <w:bCs/>
          <w:i/>
          <w:iCs/>
          <w:color w:val="000000"/>
          <w:sz w:val="24"/>
          <w:szCs w:val="24"/>
        </w:rPr>
        <w:t>THE EFFECT OF GREEN ACCOUNTING ON PROFITABILITY IN MINING COMPANIES LISTED ON THE INDONESIAN STOCK EXCHANGE FOR THE 2019-2023 PERIOD</w:t>
      </w:r>
    </w:p>
    <w:p w14:paraId="0095F7AF" w14:textId="77777777" w:rsidR="000F518D" w:rsidRDefault="000F518D" w:rsidP="000F518D">
      <w:pPr>
        <w:spacing w:after="0" w:line="360" w:lineRule="auto"/>
        <w:jc w:val="center"/>
        <w:rPr>
          <w:rFonts w:ascii="Times New Roman" w:hAnsi="Times New Roman" w:cs="Times New Roman"/>
          <w:b/>
          <w:bCs/>
          <w:sz w:val="24"/>
          <w:szCs w:val="24"/>
        </w:rPr>
      </w:pPr>
    </w:p>
    <w:p w14:paraId="3B8E1875" w14:textId="773D2A8A" w:rsidR="000F518D" w:rsidRPr="000F518D" w:rsidRDefault="000F518D" w:rsidP="000F518D">
      <w:pPr>
        <w:spacing w:after="0" w:line="360" w:lineRule="auto"/>
        <w:jc w:val="center"/>
        <w:rPr>
          <w:rFonts w:ascii="Times New Roman" w:hAnsi="Times New Roman" w:cs="Times New Roman"/>
          <w:b/>
          <w:bCs/>
          <w:sz w:val="24"/>
          <w:szCs w:val="24"/>
        </w:rPr>
      </w:pPr>
      <w:r w:rsidRPr="000F518D">
        <w:rPr>
          <w:rFonts w:ascii="Times New Roman" w:hAnsi="Times New Roman" w:cs="Times New Roman"/>
          <w:b/>
          <w:bCs/>
          <w:sz w:val="24"/>
          <w:szCs w:val="24"/>
        </w:rPr>
        <w:t>Oleh:</w:t>
      </w:r>
    </w:p>
    <w:p w14:paraId="554D0ECE" w14:textId="12E2607B" w:rsidR="000F518D" w:rsidRPr="000F518D" w:rsidRDefault="000F518D" w:rsidP="000F518D">
      <w:pPr>
        <w:spacing w:after="0" w:line="360" w:lineRule="auto"/>
        <w:jc w:val="center"/>
        <w:rPr>
          <w:rFonts w:ascii="Times New Roman" w:hAnsi="Times New Roman" w:cs="Times New Roman"/>
          <w:b/>
          <w:bCs/>
          <w:sz w:val="24"/>
          <w:szCs w:val="24"/>
        </w:rPr>
      </w:pPr>
      <w:r w:rsidRPr="000F518D">
        <w:rPr>
          <w:rFonts w:ascii="Times New Roman" w:hAnsi="Times New Roman" w:cs="Times New Roman"/>
          <w:b/>
          <w:bCs/>
          <w:sz w:val="24"/>
          <w:szCs w:val="24"/>
        </w:rPr>
        <w:t>Anggi Adhistya Himawan</w:t>
      </w:r>
    </w:p>
    <w:p w14:paraId="083DC78F" w14:textId="10CFF2E2" w:rsidR="000F518D" w:rsidRPr="000F518D" w:rsidRDefault="000F518D" w:rsidP="000F518D">
      <w:pPr>
        <w:spacing w:after="0" w:line="360" w:lineRule="auto"/>
        <w:jc w:val="center"/>
        <w:rPr>
          <w:rFonts w:ascii="Times New Roman" w:hAnsi="Times New Roman" w:cs="Times New Roman"/>
          <w:b/>
          <w:bCs/>
          <w:sz w:val="24"/>
          <w:szCs w:val="24"/>
        </w:rPr>
      </w:pPr>
      <w:r w:rsidRPr="000F518D">
        <w:rPr>
          <w:rFonts w:ascii="Times New Roman" w:hAnsi="Times New Roman" w:cs="Times New Roman"/>
          <w:b/>
          <w:bCs/>
          <w:sz w:val="24"/>
          <w:szCs w:val="24"/>
        </w:rPr>
        <w:t>21416262201076</w:t>
      </w:r>
    </w:p>
    <w:p w14:paraId="451D80CE" w14:textId="77777777" w:rsidR="000F518D" w:rsidRPr="000F518D" w:rsidRDefault="000F518D" w:rsidP="000F518D">
      <w:pPr>
        <w:spacing w:after="0" w:line="360" w:lineRule="auto"/>
        <w:jc w:val="center"/>
        <w:rPr>
          <w:rFonts w:ascii="Times New Roman" w:hAnsi="Times New Roman" w:cs="Times New Roman"/>
          <w:b/>
          <w:bCs/>
          <w:sz w:val="24"/>
          <w:szCs w:val="24"/>
        </w:rPr>
      </w:pPr>
    </w:p>
    <w:p w14:paraId="17E34018" w14:textId="77777777" w:rsidR="000F518D" w:rsidRPr="000F518D" w:rsidRDefault="000F518D" w:rsidP="000F518D">
      <w:pPr>
        <w:spacing w:after="0" w:line="360" w:lineRule="auto"/>
        <w:jc w:val="center"/>
        <w:rPr>
          <w:rFonts w:ascii="Times New Roman" w:hAnsi="Times New Roman" w:cs="Times New Roman"/>
          <w:b/>
          <w:bCs/>
          <w:sz w:val="24"/>
          <w:szCs w:val="24"/>
        </w:rPr>
      </w:pPr>
      <w:r w:rsidRPr="000F518D">
        <w:rPr>
          <w:rFonts w:ascii="Times New Roman" w:hAnsi="Times New Roman" w:cs="Times New Roman"/>
          <w:b/>
          <w:bCs/>
          <w:sz w:val="24"/>
          <w:szCs w:val="24"/>
        </w:rPr>
        <w:t>NON SKRIPSI</w:t>
      </w:r>
    </w:p>
    <w:p w14:paraId="041EA9B8" w14:textId="77777777" w:rsidR="000F518D" w:rsidRPr="000F518D" w:rsidRDefault="000F518D" w:rsidP="000F518D">
      <w:pPr>
        <w:spacing w:after="0" w:line="360" w:lineRule="auto"/>
        <w:rPr>
          <w:rFonts w:ascii="Times New Roman" w:hAnsi="Times New Roman" w:cs="Times New Roman"/>
          <w:sz w:val="24"/>
          <w:szCs w:val="24"/>
        </w:rPr>
      </w:pPr>
    </w:p>
    <w:p w14:paraId="2761B8E2" w14:textId="23EC97EC" w:rsidR="000F518D" w:rsidRPr="000F518D" w:rsidRDefault="000F518D" w:rsidP="000F518D">
      <w:pPr>
        <w:spacing w:after="0" w:line="360" w:lineRule="auto"/>
        <w:rPr>
          <w:rFonts w:ascii="Times New Roman" w:hAnsi="Times New Roman" w:cs="Times New Roman"/>
          <w:sz w:val="24"/>
          <w:szCs w:val="24"/>
        </w:rPr>
      </w:pPr>
    </w:p>
    <w:p w14:paraId="6AFE830D" w14:textId="2CFC2C5A" w:rsidR="000F518D" w:rsidRPr="000F518D" w:rsidRDefault="000F518D" w:rsidP="000F518D">
      <w:pPr>
        <w:spacing w:after="0" w:line="360" w:lineRule="auto"/>
        <w:rPr>
          <w:rFonts w:ascii="Times New Roman" w:hAnsi="Times New Roman" w:cs="Times New Roman"/>
          <w:sz w:val="24"/>
          <w:szCs w:val="24"/>
        </w:rPr>
      </w:pPr>
    </w:p>
    <w:p w14:paraId="40F67878" w14:textId="248C549A" w:rsidR="000F518D" w:rsidRPr="000F518D" w:rsidRDefault="003F53B3" w:rsidP="000F518D">
      <w:pPr>
        <w:spacing w:after="0" w:line="360" w:lineRule="auto"/>
        <w:rPr>
          <w:rFonts w:ascii="Times New Roman" w:hAnsi="Times New Roman" w:cs="Times New Roman"/>
          <w:sz w:val="24"/>
          <w:szCs w:val="24"/>
        </w:rPr>
      </w:pPr>
      <w:r w:rsidRPr="000F518D">
        <w:rPr>
          <w:rFonts w:ascii="Times New Roman" w:eastAsia="Times New Roman" w:hAnsi="Times New Roman" w:cs="Times New Roman"/>
          <w:noProof/>
          <w:sz w:val="24"/>
          <w:szCs w:val="24"/>
        </w:rPr>
        <w:drawing>
          <wp:anchor distT="0" distB="0" distL="114300" distR="114300" simplePos="0" relativeHeight="251663360" behindDoc="0" locked="0" layoutInCell="1" allowOverlap="1" wp14:anchorId="23EAC1AF" wp14:editId="451B49CE">
            <wp:simplePos x="0" y="0"/>
            <wp:positionH relativeFrom="margin">
              <wp:align>center</wp:align>
            </wp:positionH>
            <wp:positionV relativeFrom="paragraph">
              <wp:posOffset>22134</wp:posOffset>
            </wp:positionV>
            <wp:extent cx="1699591" cy="1838739"/>
            <wp:effectExtent l="0" t="0" r="0" b="0"/>
            <wp:wrapNone/>
            <wp:docPr id="2" name="image1.png" descr="E:\Bunga Rampai\Foto &amp; JPEG\Foto &amp; JPEG Umum\logo UBP Karawang.png"/>
            <wp:cNvGraphicFramePr/>
            <a:graphic xmlns:a="http://schemas.openxmlformats.org/drawingml/2006/main">
              <a:graphicData uri="http://schemas.openxmlformats.org/drawingml/2006/picture">
                <pic:pic xmlns:pic="http://schemas.openxmlformats.org/drawingml/2006/picture">
                  <pic:nvPicPr>
                    <pic:cNvPr id="0" name="image1.png" descr="E:\Bunga Rampai\Foto &amp; JPEG\Foto &amp; JPEG Umum\logo UBP Karawang.png"/>
                    <pic:cNvPicPr preferRelativeResize="0"/>
                  </pic:nvPicPr>
                  <pic:blipFill>
                    <a:blip r:embed="rId10">
                      <a:extLst>
                        <a:ext uri="{28A0092B-C50C-407E-A947-70E740481C1C}">
                          <a14:useLocalDpi xmlns:a14="http://schemas.microsoft.com/office/drawing/2010/main" val="0"/>
                        </a:ext>
                      </a:extLst>
                    </a:blip>
                    <a:srcRect/>
                    <a:stretch>
                      <a:fillRect/>
                    </a:stretch>
                  </pic:blipFill>
                  <pic:spPr>
                    <a:xfrm>
                      <a:off x="0" y="0"/>
                      <a:ext cx="1699591" cy="1838739"/>
                    </a:xfrm>
                    <a:prstGeom prst="rect">
                      <a:avLst/>
                    </a:prstGeom>
                    <a:ln/>
                  </pic:spPr>
                </pic:pic>
              </a:graphicData>
            </a:graphic>
            <wp14:sizeRelH relativeFrom="margin">
              <wp14:pctWidth>0</wp14:pctWidth>
            </wp14:sizeRelH>
            <wp14:sizeRelV relativeFrom="margin">
              <wp14:pctHeight>0</wp14:pctHeight>
            </wp14:sizeRelV>
          </wp:anchor>
        </w:drawing>
      </w:r>
    </w:p>
    <w:p w14:paraId="4A78590D" w14:textId="7131F4E1" w:rsidR="000F518D" w:rsidRPr="000F518D" w:rsidRDefault="000F518D" w:rsidP="000F518D">
      <w:pPr>
        <w:spacing w:after="0" w:line="360" w:lineRule="auto"/>
        <w:rPr>
          <w:rFonts w:ascii="Times New Roman" w:hAnsi="Times New Roman" w:cs="Times New Roman"/>
          <w:sz w:val="24"/>
          <w:szCs w:val="24"/>
        </w:rPr>
      </w:pPr>
    </w:p>
    <w:p w14:paraId="05FD302D" w14:textId="712B3FAF" w:rsidR="000F518D" w:rsidRPr="000F518D" w:rsidRDefault="000F518D" w:rsidP="000F518D">
      <w:pPr>
        <w:spacing w:after="0" w:line="360" w:lineRule="auto"/>
        <w:rPr>
          <w:rFonts w:ascii="Times New Roman" w:hAnsi="Times New Roman" w:cs="Times New Roman"/>
          <w:sz w:val="24"/>
          <w:szCs w:val="24"/>
        </w:rPr>
      </w:pPr>
    </w:p>
    <w:p w14:paraId="5D2DE9C4" w14:textId="77777777" w:rsidR="000F518D" w:rsidRPr="000F518D" w:rsidRDefault="000F518D" w:rsidP="000F518D">
      <w:pPr>
        <w:spacing w:after="0" w:line="360" w:lineRule="auto"/>
        <w:rPr>
          <w:rFonts w:ascii="Times New Roman" w:hAnsi="Times New Roman" w:cs="Times New Roman"/>
          <w:sz w:val="24"/>
          <w:szCs w:val="24"/>
        </w:rPr>
      </w:pPr>
    </w:p>
    <w:p w14:paraId="456DDF9E" w14:textId="77777777" w:rsidR="000F518D" w:rsidRPr="000F518D" w:rsidRDefault="000F518D" w:rsidP="000F518D">
      <w:pPr>
        <w:spacing w:after="0" w:line="360" w:lineRule="auto"/>
        <w:rPr>
          <w:rFonts w:ascii="Times New Roman" w:hAnsi="Times New Roman" w:cs="Times New Roman"/>
          <w:sz w:val="24"/>
          <w:szCs w:val="24"/>
        </w:rPr>
      </w:pPr>
    </w:p>
    <w:p w14:paraId="23287AF4" w14:textId="77777777" w:rsidR="000F518D" w:rsidRPr="000F518D" w:rsidRDefault="000F518D" w:rsidP="000F518D">
      <w:pPr>
        <w:spacing w:after="0" w:line="360" w:lineRule="auto"/>
        <w:rPr>
          <w:rFonts w:ascii="Times New Roman" w:hAnsi="Times New Roman" w:cs="Times New Roman"/>
          <w:sz w:val="24"/>
          <w:szCs w:val="24"/>
        </w:rPr>
      </w:pPr>
    </w:p>
    <w:p w14:paraId="6301B236" w14:textId="77777777" w:rsidR="000F518D" w:rsidRPr="000F518D" w:rsidRDefault="000F518D" w:rsidP="000F518D">
      <w:pPr>
        <w:spacing w:after="0" w:line="360" w:lineRule="auto"/>
        <w:rPr>
          <w:rFonts w:ascii="Times New Roman" w:hAnsi="Times New Roman" w:cs="Times New Roman"/>
          <w:sz w:val="24"/>
          <w:szCs w:val="24"/>
        </w:rPr>
      </w:pPr>
    </w:p>
    <w:p w14:paraId="531EBE12" w14:textId="77777777" w:rsidR="000F518D" w:rsidRPr="000F518D" w:rsidRDefault="000F518D" w:rsidP="000F518D">
      <w:pPr>
        <w:spacing w:after="0" w:line="360" w:lineRule="auto"/>
        <w:rPr>
          <w:rFonts w:ascii="Times New Roman" w:hAnsi="Times New Roman" w:cs="Times New Roman"/>
          <w:sz w:val="24"/>
          <w:szCs w:val="24"/>
        </w:rPr>
      </w:pPr>
    </w:p>
    <w:p w14:paraId="4E536BD6" w14:textId="77777777" w:rsidR="000F518D" w:rsidRDefault="000F518D" w:rsidP="003F53B3">
      <w:pPr>
        <w:spacing w:after="0" w:line="360" w:lineRule="auto"/>
        <w:rPr>
          <w:rFonts w:ascii="Times New Roman" w:hAnsi="Times New Roman" w:cs="Times New Roman"/>
          <w:b/>
          <w:bCs/>
          <w:sz w:val="24"/>
          <w:szCs w:val="24"/>
        </w:rPr>
      </w:pPr>
    </w:p>
    <w:p w14:paraId="0F252FB1" w14:textId="77777777" w:rsidR="000F518D" w:rsidRDefault="000F518D" w:rsidP="000F518D">
      <w:pPr>
        <w:spacing w:after="0" w:line="360" w:lineRule="auto"/>
        <w:jc w:val="center"/>
        <w:rPr>
          <w:rFonts w:ascii="Times New Roman" w:hAnsi="Times New Roman" w:cs="Times New Roman"/>
          <w:b/>
          <w:bCs/>
          <w:sz w:val="24"/>
          <w:szCs w:val="24"/>
        </w:rPr>
      </w:pPr>
    </w:p>
    <w:p w14:paraId="36E45C03" w14:textId="77777777" w:rsidR="000F518D" w:rsidRDefault="000F518D" w:rsidP="000F518D">
      <w:pPr>
        <w:spacing w:after="0" w:line="360" w:lineRule="auto"/>
        <w:jc w:val="center"/>
        <w:rPr>
          <w:rFonts w:ascii="Times New Roman" w:hAnsi="Times New Roman" w:cs="Times New Roman"/>
          <w:b/>
          <w:bCs/>
          <w:sz w:val="24"/>
          <w:szCs w:val="24"/>
        </w:rPr>
      </w:pPr>
    </w:p>
    <w:p w14:paraId="3E3D4BDB" w14:textId="77777777" w:rsidR="000F518D" w:rsidRDefault="000F518D" w:rsidP="000F518D">
      <w:pPr>
        <w:spacing w:after="0" w:line="360" w:lineRule="auto"/>
        <w:jc w:val="center"/>
        <w:rPr>
          <w:rFonts w:ascii="Times New Roman" w:hAnsi="Times New Roman" w:cs="Times New Roman"/>
          <w:b/>
          <w:bCs/>
          <w:sz w:val="24"/>
          <w:szCs w:val="24"/>
        </w:rPr>
      </w:pPr>
    </w:p>
    <w:p w14:paraId="5D6EAD6D" w14:textId="09D8301D" w:rsidR="000F518D" w:rsidRPr="000F518D" w:rsidRDefault="000F518D" w:rsidP="000F518D">
      <w:pPr>
        <w:spacing w:after="0" w:line="360" w:lineRule="auto"/>
        <w:jc w:val="center"/>
        <w:rPr>
          <w:rFonts w:ascii="Times New Roman" w:hAnsi="Times New Roman" w:cs="Times New Roman"/>
          <w:b/>
          <w:bCs/>
          <w:sz w:val="24"/>
          <w:szCs w:val="24"/>
        </w:rPr>
      </w:pPr>
      <w:r w:rsidRPr="000F518D">
        <w:rPr>
          <w:rFonts w:ascii="Times New Roman" w:hAnsi="Times New Roman" w:cs="Times New Roman"/>
          <w:b/>
          <w:bCs/>
          <w:sz w:val="24"/>
          <w:szCs w:val="24"/>
        </w:rPr>
        <w:t>PROGRAM STUDI AKUNTANSI</w:t>
      </w:r>
    </w:p>
    <w:p w14:paraId="7A001638" w14:textId="77777777" w:rsidR="000F518D" w:rsidRPr="000F518D" w:rsidRDefault="000F518D" w:rsidP="000F518D">
      <w:pPr>
        <w:spacing w:after="0" w:line="360" w:lineRule="auto"/>
        <w:jc w:val="center"/>
        <w:rPr>
          <w:rFonts w:ascii="Times New Roman" w:hAnsi="Times New Roman" w:cs="Times New Roman"/>
          <w:b/>
          <w:bCs/>
          <w:sz w:val="24"/>
          <w:szCs w:val="24"/>
        </w:rPr>
      </w:pPr>
      <w:r w:rsidRPr="000F518D">
        <w:rPr>
          <w:rFonts w:ascii="Times New Roman" w:hAnsi="Times New Roman" w:cs="Times New Roman"/>
          <w:b/>
          <w:bCs/>
          <w:sz w:val="24"/>
          <w:szCs w:val="24"/>
        </w:rPr>
        <w:t>FAKULTAS EKONOMI DAN BISNIS</w:t>
      </w:r>
    </w:p>
    <w:p w14:paraId="70616A90" w14:textId="77777777" w:rsidR="000F518D" w:rsidRPr="000F518D" w:rsidRDefault="000F518D" w:rsidP="000F518D">
      <w:pPr>
        <w:spacing w:after="0" w:line="360" w:lineRule="auto"/>
        <w:jc w:val="center"/>
        <w:rPr>
          <w:rFonts w:ascii="Times New Roman" w:hAnsi="Times New Roman" w:cs="Times New Roman"/>
          <w:b/>
          <w:bCs/>
          <w:sz w:val="24"/>
          <w:szCs w:val="24"/>
        </w:rPr>
      </w:pPr>
      <w:r w:rsidRPr="000F518D">
        <w:rPr>
          <w:rFonts w:ascii="Times New Roman" w:hAnsi="Times New Roman" w:cs="Times New Roman"/>
          <w:b/>
          <w:bCs/>
          <w:sz w:val="24"/>
          <w:szCs w:val="24"/>
        </w:rPr>
        <w:t>UNIVERSITAS BUANA PERJUANGAN KARAWANG</w:t>
      </w:r>
    </w:p>
    <w:p w14:paraId="76131A71" w14:textId="77777777" w:rsidR="000F518D" w:rsidRDefault="000F518D" w:rsidP="000F518D">
      <w:pPr>
        <w:spacing w:after="0" w:line="360" w:lineRule="auto"/>
        <w:jc w:val="center"/>
        <w:rPr>
          <w:rFonts w:ascii="Times New Roman" w:hAnsi="Times New Roman" w:cs="Times New Roman"/>
          <w:b/>
          <w:bCs/>
          <w:sz w:val="24"/>
          <w:szCs w:val="24"/>
        </w:rPr>
      </w:pPr>
      <w:r w:rsidRPr="000F518D">
        <w:rPr>
          <w:rFonts w:ascii="Times New Roman" w:hAnsi="Times New Roman" w:cs="Times New Roman"/>
          <w:b/>
          <w:bCs/>
          <w:sz w:val="24"/>
          <w:szCs w:val="24"/>
        </w:rPr>
        <w:t>TAHUN 2025</w:t>
      </w:r>
    </w:p>
    <w:p w14:paraId="0DFC776F" w14:textId="3C146929" w:rsidR="008775EB" w:rsidRPr="000F518D" w:rsidRDefault="000F518D" w:rsidP="000F518D">
      <w:pPr>
        <w:spacing w:after="0" w:line="360" w:lineRule="auto"/>
        <w:jc w:val="center"/>
        <w:rPr>
          <w:rFonts w:ascii="Times New Roman" w:hAnsi="Times New Roman" w:cs="Times New Roman"/>
          <w:b/>
          <w:bCs/>
          <w:sz w:val="24"/>
          <w:szCs w:val="24"/>
        </w:rPr>
      </w:pPr>
      <w:r w:rsidRPr="000F518D">
        <w:rPr>
          <w:rFonts w:ascii="Times New Roman" w:eastAsia="Times New Roman" w:hAnsi="Times New Roman" w:cs="Times New Roman"/>
          <w:b/>
          <w:sz w:val="24"/>
          <w:szCs w:val="24"/>
        </w:rPr>
        <w:lastRenderedPageBreak/>
        <w:t>PENGARUH GREEN ACCOUNTING TERHADAP PROFITABILITAS PADA PERUSAHAAN PERTAMBANGAN YANG TERDAFTAR DI BURSA EFEK INDONESIA PERIODE 2019-2023</w:t>
      </w:r>
    </w:p>
    <w:p w14:paraId="297E91C7" w14:textId="77777777" w:rsidR="008775EB" w:rsidRDefault="00000000">
      <w:pPr>
        <w:spacing w:line="240" w:lineRule="auto"/>
        <w:jc w:val="center"/>
        <w:rPr>
          <w:rFonts w:ascii="Times New Roman" w:hAnsi="Times New Roman" w:cs="Times New Roman"/>
          <w:sz w:val="24"/>
          <w:szCs w:val="24"/>
        </w:rPr>
      </w:pPr>
      <w:r>
        <w:rPr>
          <w:rFonts w:ascii="Times New Roman" w:hAnsi="Times New Roman" w:cs="Times New Roman"/>
          <w:sz w:val="24"/>
          <w:szCs w:val="24"/>
        </w:rPr>
        <w:t>Anggi Adhistya Himawan</w:t>
      </w:r>
      <w:r>
        <w:rPr>
          <w:rFonts w:ascii="Times New Roman" w:hAnsi="Times New Roman" w:cs="Times New Roman"/>
          <w:sz w:val="24"/>
          <w:szCs w:val="24"/>
          <w:vertAlign w:val="superscript"/>
        </w:rPr>
        <w:t>1</w:t>
      </w:r>
      <w:r>
        <w:rPr>
          <w:rFonts w:ascii="Times New Roman" w:hAnsi="Times New Roman" w:cs="Times New Roman"/>
          <w:sz w:val="24"/>
          <w:szCs w:val="24"/>
        </w:rPr>
        <w:t>,Dedi Mulyadi</w:t>
      </w:r>
      <w:r>
        <w:rPr>
          <w:rFonts w:ascii="Times New Roman" w:hAnsi="Times New Roman" w:cs="Times New Roman"/>
          <w:sz w:val="24"/>
          <w:szCs w:val="24"/>
          <w:vertAlign w:val="superscript"/>
        </w:rPr>
        <w:t>2</w:t>
      </w:r>
      <w:r>
        <w:rPr>
          <w:rFonts w:ascii="Times New Roman" w:hAnsi="Times New Roman" w:cs="Times New Roman"/>
          <w:sz w:val="24"/>
          <w:szCs w:val="24"/>
        </w:rPr>
        <w:t>,Yanti</w:t>
      </w:r>
      <w:r>
        <w:rPr>
          <w:rFonts w:ascii="Times New Roman" w:hAnsi="Times New Roman" w:cs="Times New Roman"/>
          <w:sz w:val="24"/>
          <w:szCs w:val="24"/>
          <w:vertAlign w:val="superscript"/>
        </w:rPr>
        <w:t>3</w:t>
      </w:r>
    </w:p>
    <w:p w14:paraId="77AB3876" w14:textId="77777777" w:rsidR="008775EB" w:rsidRDefault="008775EB">
      <w:pPr>
        <w:spacing w:line="240" w:lineRule="auto"/>
        <w:jc w:val="center"/>
        <w:rPr>
          <w:rFonts w:ascii="Times New Roman" w:hAnsi="Times New Roman" w:cs="Times New Roman"/>
          <w:sz w:val="24"/>
          <w:szCs w:val="24"/>
        </w:rPr>
      </w:pPr>
      <w:hyperlink r:id="rId11" w:history="1">
        <w:r>
          <w:rPr>
            <w:rStyle w:val="Hyperlink"/>
            <w:rFonts w:ascii="Times New Roman" w:hAnsi="Times New Roman" w:cs="Times New Roman"/>
            <w:sz w:val="24"/>
            <w:szCs w:val="24"/>
          </w:rPr>
          <w:t>Ak21.anggihimawan@mhs.ubpkarawang.ac.id</w:t>
        </w:r>
      </w:hyperlink>
      <w:r>
        <w:rPr>
          <w:rFonts w:ascii="Times New Roman" w:hAnsi="Times New Roman" w:cs="Times New Roman"/>
          <w:sz w:val="24"/>
          <w:szCs w:val="24"/>
          <w:vertAlign w:val="superscript"/>
        </w:rPr>
        <w:t>1</w:t>
      </w:r>
      <w:r>
        <w:rPr>
          <w:rFonts w:ascii="Times New Roman" w:hAnsi="Times New Roman" w:cs="Times New Roman"/>
          <w:sz w:val="24"/>
          <w:szCs w:val="24"/>
        </w:rPr>
        <w:t xml:space="preserve"> , </w:t>
      </w:r>
      <w:r>
        <w:fldChar w:fldCharType="begin"/>
      </w:r>
      <w:r>
        <w:instrText>HYPERLINK "mailto:dedi.mulyadi@mhs.ubpkarawang.ac.id"</w:instrText>
      </w:r>
      <w:r>
        <w:fldChar w:fldCharType="separate"/>
      </w:r>
      <w:r>
        <w:rPr>
          <w:rStyle w:val="Hyperlink"/>
          <w:rFonts w:ascii="Times New Roman" w:hAnsi="Times New Roman" w:cs="Times New Roman"/>
          <w:sz w:val="24"/>
          <w:szCs w:val="24"/>
        </w:rPr>
        <w:t>dedi.mulyadi@ubpkarawang.ac.id</w:t>
      </w:r>
      <w:r>
        <w:fldChar w:fldCharType="end"/>
      </w:r>
      <w:r>
        <w:rPr>
          <w:rFonts w:ascii="Times New Roman" w:hAnsi="Times New Roman" w:cs="Times New Roman"/>
          <w:sz w:val="24"/>
          <w:szCs w:val="24"/>
          <w:vertAlign w:val="superscript"/>
        </w:rPr>
        <w:t>2</w:t>
      </w:r>
      <w:r>
        <w:rPr>
          <w:rFonts w:ascii="Times New Roman" w:hAnsi="Times New Roman" w:cs="Times New Roman"/>
          <w:sz w:val="24"/>
          <w:szCs w:val="24"/>
        </w:rPr>
        <w:t xml:space="preserve"> ,</w:t>
      </w:r>
    </w:p>
    <w:p w14:paraId="7EA1F768" w14:textId="77777777" w:rsidR="008775EB" w:rsidRDefault="008775EB">
      <w:pPr>
        <w:spacing w:line="240" w:lineRule="auto"/>
        <w:jc w:val="center"/>
        <w:rPr>
          <w:rFonts w:ascii="Times New Roman" w:hAnsi="Times New Roman" w:cs="Times New Roman"/>
          <w:sz w:val="24"/>
          <w:szCs w:val="24"/>
        </w:rPr>
      </w:pPr>
      <w:hyperlink r:id="rId12" w:history="1">
        <w:r>
          <w:rPr>
            <w:rStyle w:val="Hyperlink"/>
            <w:rFonts w:ascii="Times New Roman" w:hAnsi="Times New Roman" w:cs="Times New Roman"/>
            <w:sz w:val="24"/>
            <w:szCs w:val="24"/>
          </w:rPr>
          <w:t>Yanti@ubpkarawang.ac.id</w:t>
        </w:r>
      </w:hyperlink>
      <w:r>
        <w:rPr>
          <w:rFonts w:ascii="Times New Roman" w:hAnsi="Times New Roman" w:cs="Times New Roman"/>
          <w:sz w:val="24"/>
          <w:szCs w:val="24"/>
          <w:vertAlign w:val="superscript"/>
        </w:rPr>
        <w:t>3</w:t>
      </w:r>
    </w:p>
    <w:p w14:paraId="269D4A64" w14:textId="77777777" w:rsidR="008775EB" w:rsidRDefault="00000000">
      <w:pPr>
        <w:spacing w:line="240" w:lineRule="auto"/>
        <w:jc w:val="center"/>
        <w:rPr>
          <w:rFonts w:ascii="Times New Roman" w:hAnsi="Times New Roman" w:cs="Times New Roman"/>
          <w:sz w:val="24"/>
          <w:szCs w:val="24"/>
        </w:rPr>
      </w:pPr>
      <w:r>
        <w:rPr>
          <w:rFonts w:ascii="Times New Roman" w:hAnsi="Times New Roman" w:cs="Times New Roman"/>
          <w:sz w:val="24"/>
          <w:szCs w:val="24"/>
        </w:rPr>
        <w:t>Program Akuntansi</w:t>
      </w:r>
    </w:p>
    <w:p w14:paraId="7B3BB0AC" w14:textId="77777777" w:rsidR="008775EB" w:rsidRDefault="00000000">
      <w:pPr>
        <w:spacing w:line="240" w:lineRule="auto"/>
        <w:jc w:val="center"/>
        <w:rPr>
          <w:rFonts w:ascii="Times New Roman" w:hAnsi="Times New Roman" w:cs="Times New Roman"/>
          <w:sz w:val="24"/>
          <w:szCs w:val="24"/>
        </w:rPr>
      </w:pPr>
      <w:r>
        <w:rPr>
          <w:rFonts w:ascii="Times New Roman" w:hAnsi="Times New Roman" w:cs="Times New Roman"/>
          <w:sz w:val="24"/>
          <w:szCs w:val="24"/>
        </w:rPr>
        <w:t>Fakultas Ekonomi dan Bisnis,</w:t>
      </w:r>
    </w:p>
    <w:p w14:paraId="3BF5A83A" w14:textId="77777777" w:rsidR="008775EB" w:rsidRDefault="00000000">
      <w:pPr>
        <w:spacing w:line="240" w:lineRule="auto"/>
        <w:jc w:val="center"/>
        <w:rPr>
          <w:rFonts w:ascii="Times New Roman" w:hAnsi="Times New Roman" w:cs="Times New Roman"/>
          <w:sz w:val="24"/>
          <w:szCs w:val="24"/>
        </w:rPr>
      </w:pPr>
      <w:r>
        <w:rPr>
          <w:rFonts w:ascii="Times New Roman" w:hAnsi="Times New Roman" w:cs="Times New Roman"/>
          <w:sz w:val="24"/>
          <w:szCs w:val="24"/>
        </w:rPr>
        <w:t>Universitas Buana Perjuangan Karawang</w:t>
      </w:r>
    </w:p>
    <w:p w14:paraId="5A4388B8" w14:textId="77777777" w:rsidR="008775EB" w:rsidRPr="005203B6" w:rsidRDefault="00000000" w:rsidP="005203B6">
      <w:pPr>
        <w:pStyle w:val="NormalWeb"/>
        <w:spacing w:beforeAutospacing="1" w:line="240" w:lineRule="auto"/>
        <w:jc w:val="center"/>
        <w:rPr>
          <w:b/>
          <w:bCs/>
          <w:i/>
          <w:iCs/>
        </w:rPr>
      </w:pPr>
      <w:r w:rsidRPr="005203B6">
        <w:rPr>
          <w:b/>
          <w:bCs/>
          <w:i/>
          <w:iCs/>
        </w:rPr>
        <w:t>ABSTRACT</w:t>
      </w:r>
    </w:p>
    <w:p w14:paraId="6BE0D7E7" w14:textId="5AE713D3" w:rsidR="008775EB" w:rsidRDefault="00000000">
      <w:pPr>
        <w:pStyle w:val="NormalWeb"/>
        <w:spacing w:beforeAutospacing="1" w:line="240" w:lineRule="auto"/>
        <w:jc w:val="both"/>
        <w:rPr>
          <w:i/>
          <w:iCs/>
        </w:rPr>
      </w:pPr>
      <w:r>
        <w:rPr>
          <w:i/>
          <w:iCs/>
        </w:rPr>
        <w:t xml:space="preserve">This study aims to analyze the effect of environmental costs, as a proxy for green accounting implementation, on profitability in mining companies listed on the Indonesia Stock Exchange (IDX) for the 2019–2023 period. This study uses a quantitative approach with secondary data obtained from annual reports and sustainability reports. The study sample consisted of 20 companies over five years of observation, with a total of 100 data points. The analysis was conducted using simple linear regression with SPSS version 26. The results show that green accounting, as proxied by environmental costs, has a positive and significant effect on profitability (ROA). This means that the higher the implementation of environmental accounting, the higher the company's profitability. These results support legitimacy theory, which states that companies that care about the environment will gain social legitimacy and public trust, which ultimately impacts financial performance. </w:t>
      </w:r>
    </w:p>
    <w:p w14:paraId="2BC7A9B0" w14:textId="0E2D79FD" w:rsidR="008775EB" w:rsidRDefault="00000000">
      <w:pPr>
        <w:pStyle w:val="NormalWeb"/>
        <w:spacing w:beforeAutospacing="1" w:line="240" w:lineRule="auto"/>
        <w:jc w:val="both"/>
        <w:rPr>
          <w:rFonts w:eastAsia="Times New Roman"/>
          <w:b/>
          <w:iCs/>
        </w:rPr>
      </w:pPr>
      <w:r>
        <w:rPr>
          <w:i/>
          <w:iCs/>
        </w:rPr>
        <w:t>Keywords: Green Accounting, Environmental Costs, Profitability</w:t>
      </w:r>
      <w:r w:rsidR="00A12C81">
        <w:rPr>
          <w:i/>
          <w:iCs/>
        </w:rPr>
        <w:t xml:space="preserve">, </w:t>
      </w:r>
      <w:r w:rsidR="00A12C81" w:rsidRPr="00A12C81">
        <w:rPr>
          <w:i/>
          <w:iCs/>
        </w:rPr>
        <w:t>Legitimacy Theory, Mining.</w:t>
      </w:r>
    </w:p>
    <w:p w14:paraId="25C586A7" w14:textId="77777777" w:rsidR="008775EB" w:rsidRDefault="00000000" w:rsidP="005203B6">
      <w:pPr>
        <w:spacing w:after="0" w:line="240" w:lineRule="auto"/>
        <w:jc w:val="center"/>
        <w:rPr>
          <w:rFonts w:ascii="Times New Roman" w:eastAsia="Times New Roman" w:hAnsi="Times New Roman" w:cs="Times New Roman"/>
          <w:b/>
          <w:iCs/>
          <w:sz w:val="24"/>
          <w:szCs w:val="24"/>
        </w:rPr>
      </w:pPr>
      <w:r>
        <w:rPr>
          <w:rFonts w:ascii="Times New Roman" w:eastAsia="Times New Roman" w:hAnsi="Times New Roman" w:cs="Times New Roman"/>
          <w:b/>
          <w:iCs/>
          <w:sz w:val="24"/>
          <w:szCs w:val="24"/>
        </w:rPr>
        <w:t>ABSTRAK</w:t>
      </w:r>
    </w:p>
    <w:p w14:paraId="25CB739C" w14:textId="2D02AE57" w:rsidR="008775EB" w:rsidRDefault="00000000">
      <w:pPr>
        <w:pStyle w:val="NormalWeb"/>
        <w:spacing w:beforeAutospacing="1" w:line="240" w:lineRule="auto"/>
        <w:jc w:val="both"/>
      </w:pPr>
      <w:r>
        <w:t xml:space="preserve">Penelitian ini bertujuan untuk menganalisis pengaruh biaya lingkungan sebagai representasi dari penerapan </w:t>
      </w:r>
      <w:r>
        <w:rPr>
          <w:rStyle w:val="Emphasis"/>
        </w:rPr>
        <w:t>green accounting</w:t>
      </w:r>
      <w:r>
        <w:t xml:space="preserve"> terhadap </w:t>
      </w:r>
      <w:r>
        <w:rPr>
          <w:i/>
          <w:iCs/>
        </w:rPr>
        <w:t>profitabilitas</w:t>
      </w:r>
      <w:r>
        <w:t xml:space="preserve"> pada perusahaan sektor pertambangan yang terdaftar di Bursa Efek Indonesia (BEI) periode 2019–2023. Penelitian ini menggunakan pendekatan kuantitatif dengan data sekunder yang diperoleh dari laporan tahunan dan laporan keberlanjutan. Sampel penelitian berjumlah 20 perusahaan selama lima tahun observasi dengan total 100 data. Analisis dilakukan menggunakan regresi linear sederhana dengan bantuan SPSS versi 26. Hasil penelitian menunjukkan bahwa </w:t>
      </w:r>
      <w:r>
        <w:rPr>
          <w:rStyle w:val="Emphasis"/>
        </w:rPr>
        <w:t>green accounting</w:t>
      </w:r>
      <w:r>
        <w:t xml:space="preserve"> yang diproksikan melalui biaya lingkungan berpengaruh positif dan signifikan terhadap </w:t>
      </w:r>
      <w:r w:rsidRPr="000846BD">
        <w:t>profitabilitas</w:t>
      </w:r>
      <w:r>
        <w:t xml:space="preserve"> (ROA). Hal ini berarti bahwa semakin tinggi penerapan akuntansi lingkungan, semakin tinggi pula tingkat </w:t>
      </w:r>
      <w:r w:rsidRPr="000846BD">
        <w:t>profitabilitas</w:t>
      </w:r>
      <w:r>
        <w:t xml:space="preserve"> perusahaan. Hasil ini mendukung teori legitimasi yang menyatakan bahwa perusahaan yang peduli terhadap lingkungan akan memperoleh legitimasi sosial dan kepercayaan publik yang pada akhirnya berdampak pada peningkatan kinerja keuangan. </w:t>
      </w:r>
    </w:p>
    <w:p w14:paraId="091EF154" w14:textId="16888D62" w:rsidR="008775EB" w:rsidRPr="000846BD" w:rsidRDefault="00000000" w:rsidP="000846BD">
      <w:pPr>
        <w:pStyle w:val="NormalWeb"/>
        <w:spacing w:beforeAutospacing="1" w:line="240" w:lineRule="auto"/>
        <w:jc w:val="both"/>
      </w:pPr>
      <w:r w:rsidRPr="005203B6">
        <w:rPr>
          <w:rStyle w:val="Strong"/>
        </w:rPr>
        <w:t>Kata kunci:</w:t>
      </w:r>
      <w:r w:rsidRPr="005203B6">
        <w:t xml:space="preserve"> </w:t>
      </w:r>
      <w:r w:rsidRPr="005203B6">
        <w:rPr>
          <w:rStyle w:val="Emphasis"/>
        </w:rPr>
        <w:t>Green Accounting</w:t>
      </w:r>
      <w:r w:rsidRPr="005203B6">
        <w:t xml:space="preserve">, Biaya Lingkungan, </w:t>
      </w:r>
      <w:r w:rsidRPr="000846BD">
        <w:t>Profitabilitas</w:t>
      </w:r>
      <w:r w:rsidR="000846BD">
        <w:t>, Teori Legitimasi, Pertambangan.</w:t>
      </w:r>
    </w:p>
    <w:p w14:paraId="07D0E55F" w14:textId="77777777" w:rsidR="000F518D" w:rsidRDefault="000F518D" w:rsidP="004B27B7">
      <w:pPr>
        <w:spacing w:line="360" w:lineRule="auto"/>
        <w:jc w:val="both"/>
        <w:rPr>
          <w:rFonts w:ascii="Times New Roman" w:eastAsia="Times New Roman" w:hAnsi="Times New Roman" w:cs="Times New Roman"/>
          <w:b/>
          <w:sz w:val="24"/>
          <w:szCs w:val="24"/>
        </w:rPr>
      </w:pPr>
    </w:p>
    <w:p w14:paraId="031CEC33" w14:textId="338B733E" w:rsidR="008775EB" w:rsidRPr="004B27B7" w:rsidRDefault="00000000" w:rsidP="004B27B7">
      <w:pPr>
        <w:spacing w:line="360" w:lineRule="auto"/>
        <w:jc w:val="both"/>
        <w:rPr>
          <w:rFonts w:ascii="Times New Roman" w:eastAsia="Times New Roman" w:hAnsi="Times New Roman" w:cs="Times New Roman"/>
          <w:b/>
          <w:sz w:val="24"/>
          <w:szCs w:val="24"/>
        </w:rPr>
      </w:pPr>
      <w:r w:rsidRPr="004B27B7">
        <w:rPr>
          <w:rFonts w:ascii="Times New Roman" w:eastAsia="Times New Roman" w:hAnsi="Times New Roman" w:cs="Times New Roman"/>
          <w:b/>
          <w:sz w:val="24"/>
          <w:szCs w:val="24"/>
        </w:rPr>
        <w:lastRenderedPageBreak/>
        <w:t>PENDAHULUAN</w:t>
      </w:r>
    </w:p>
    <w:p w14:paraId="079E1B5A" w14:textId="3A9F8A72" w:rsidR="008775EB" w:rsidRDefault="00BE6C70" w:rsidP="003909BF">
      <w:pPr>
        <w:spacing w:line="360" w:lineRule="auto"/>
        <w:ind w:firstLine="720"/>
        <w:jc w:val="both"/>
        <w:rPr>
          <w:rFonts w:ascii="Times New Roman" w:hAnsi="Times New Roman" w:cs="Times New Roman"/>
          <w:sz w:val="24"/>
          <w:szCs w:val="24"/>
        </w:rPr>
      </w:pPr>
      <w:r w:rsidRPr="00BE6C70">
        <w:rPr>
          <w:rFonts w:ascii="Times New Roman" w:hAnsi="Times New Roman" w:cs="Times New Roman"/>
          <w:sz w:val="24"/>
          <w:szCs w:val="24"/>
        </w:rPr>
        <w:t xml:space="preserve">Faktor pengembangan pertambangan yang berlebihan dapat mengakibatkan dampak negatif, terutama terkait masalah lingkungan hidup akibat aktivitas pertambangan di Indonesia, seperti kerusakan hutan dan habitat satwa liar, pencemaran air tanah serta air permukaan karena penggunaan bahan kimia dan limbah tambang, serta pencemaran udara yang dihasilkan dari debu dan emisi gas berbahaya seperti </w:t>
      </w:r>
      <w:r w:rsidRPr="00BE6C70">
        <w:rPr>
          <w:rFonts w:ascii="Times New Roman" w:hAnsi="Times New Roman" w:cs="Times New Roman"/>
          <w:i/>
          <w:iCs/>
          <w:sz w:val="24"/>
          <w:szCs w:val="24"/>
        </w:rPr>
        <w:t>sulfur, dioksida, dan karbon monoksida</w:t>
      </w:r>
      <w:r w:rsidR="000846BD">
        <w:rPr>
          <w:rFonts w:ascii="Times New Roman" w:hAnsi="Times New Roman" w:cs="Times New Roman"/>
          <w:i/>
          <w:iCs/>
          <w:sz w:val="24"/>
          <w:szCs w:val="24"/>
        </w:rPr>
        <w:t xml:space="preserve"> </w:t>
      </w:r>
      <w:r w:rsidRPr="004B27B7">
        <w:rPr>
          <w:rFonts w:ascii="Times New Roman" w:hAnsi="Times New Roman" w:cs="Times New Roman"/>
          <w:sz w:val="24"/>
          <w:szCs w:val="24"/>
        </w:rPr>
        <w:fldChar w:fldCharType="begin" w:fldLock="1"/>
      </w:r>
      <w:r w:rsidRPr="004B27B7">
        <w:rPr>
          <w:rFonts w:ascii="Times New Roman" w:hAnsi="Times New Roman" w:cs="Times New Roman"/>
          <w:sz w:val="24"/>
          <w:szCs w:val="24"/>
        </w:rPr>
        <w:instrText>ADDIN CSL_CITATION {"citationItems":[{"id":"ITEM-1","itemData":{"DOI":"10.31602/al-adl.v9i1.803","ISSN":"1979-4940","abstract":"The legal issues in this paper is about the mining activities increasingly uncontrollable that cause various effects for society and the life around of mine, including: environmental demage, high of pollution (soil, water and air) and resulting in disruption to the wide of society such as damage of houses and public facilities, mainly by the action of blasting dynamite to open the mine site. Disruption aspects of community life, when the viewed of side of Human Rights, which is mainly related to economic rights, social and cultural, surely very related to the impact of this coal mining. Because of human rights involve aspects the right of life and good life, safe and healthy which is the right to a good environment, healthy and regulated in the laws of the republic Indonesia of 1945.","author":[{"dropping-particle":"","family":"Listiyani","given":"Nurul","non-dropping-particle":"","parse-names":false,"suffix":""}],"container-title":"Al-Adl : Jurnal Hukum","id":"ITEM-1","issue":"1","issued":{"date-parts":[["2020"]]},"page":"67","title":"Dampak Pertambangan Terhadap Lingkungan Hidup Di Kalimantan Selatan Dan Implikasinya Bagi Hak-Hak Warga Negara","type":"article-journal","volume":"9"},"uris":["http://www.mendeley.com/documents/?uuid=ee7eaf15-8c6e-447a-8c8d-95f67dca2ce5"]}],"mendeley":{"formattedCitation":"(Listiyani, 2020)","plainTextFormattedCitation":"(Listiyani, 2020)","previouslyFormattedCitation":"(Listiyani, 2020)"},"properties":{"noteIndex":0},"schema":"https://github.com/citation-style-language/schema/raw/master/csl-citation.json"}</w:instrText>
      </w:r>
      <w:r w:rsidRPr="004B27B7">
        <w:rPr>
          <w:rFonts w:ascii="Times New Roman" w:hAnsi="Times New Roman" w:cs="Times New Roman"/>
          <w:sz w:val="24"/>
          <w:szCs w:val="24"/>
        </w:rPr>
        <w:fldChar w:fldCharType="separate"/>
      </w:r>
      <w:r w:rsidRPr="004B27B7">
        <w:rPr>
          <w:rFonts w:ascii="Times New Roman" w:hAnsi="Times New Roman" w:cs="Times New Roman"/>
          <w:noProof/>
          <w:sz w:val="24"/>
          <w:szCs w:val="24"/>
        </w:rPr>
        <w:t>(Listiyani, 2020)</w:t>
      </w:r>
      <w:r w:rsidRPr="004B27B7">
        <w:rPr>
          <w:rFonts w:ascii="Times New Roman" w:hAnsi="Times New Roman" w:cs="Times New Roman"/>
          <w:sz w:val="24"/>
          <w:szCs w:val="24"/>
        </w:rPr>
        <w:fldChar w:fldCharType="end"/>
      </w:r>
      <w:r w:rsidRPr="004B27B7">
        <w:rPr>
          <w:rFonts w:ascii="Times New Roman" w:hAnsi="Times New Roman" w:cs="Times New Roman"/>
          <w:sz w:val="24"/>
          <w:szCs w:val="24"/>
        </w:rPr>
        <w:t xml:space="preserve">. </w:t>
      </w:r>
      <w:r>
        <w:rPr>
          <w:rFonts w:ascii="Times New Roman" w:hAnsi="Times New Roman" w:cs="Times New Roman"/>
          <w:sz w:val="24"/>
          <w:szCs w:val="24"/>
        </w:rPr>
        <w:t>Konflik sosial antara aktivitas pertambangan dan masyarakat sekitar yang terdampak perubahan iklim, serta munculnya berbagai masalah alam dan sosial karena kegiatan pertambangan, telah mendorong berbagai pemangku kepentingan untuk meninjau kembali tujuan perusahaan dan tidak hanya menekankan pada pendapatan, tetapi juga mempertimbangkan prinsip bisnis yang seimbang dan berkelanjutan</w:t>
      </w:r>
      <w:r w:rsidR="000846BD">
        <w:rPr>
          <w:rFonts w:ascii="Times New Roman" w:hAnsi="Times New Roman" w:cs="Times New Roman"/>
          <w:sz w:val="24"/>
          <w:szCs w:val="24"/>
        </w:rPr>
        <w:t xml:space="preserve"> </w:t>
      </w:r>
      <w:r w:rsidRPr="004B27B7">
        <w:rPr>
          <w:rFonts w:ascii="Times New Roman" w:hAnsi="Times New Roman" w:cs="Times New Roman"/>
          <w:sz w:val="24"/>
          <w:szCs w:val="24"/>
        </w:rPr>
        <w:fldChar w:fldCharType="begin" w:fldLock="1"/>
      </w:r>
      <w:r w:rsidRPr="004B27B7">
        <w:rPr>
          <w:rFonts w:ascii="Times New Roman" w:hAnsi="Times New Roman" w:cs="Times New Roman"/>
          <w:sz w:val="24"/>
          <w:szCs w:val="24"/>
        </w:rPr>
        <w:instrText>ADDIN CSL_CITATION {"citationItems":[{"id":"ITEM-1","itemData":{"DOI":"10.19184/jeam.v23i1.43456","ISSN":"1412-5366","abstract":"This study aims to examine the effect of Green Accounting and Corporate Social Responsibility on Profitability. The object of this research is the mining sub-sector energy sector companies listed on the IDX in 2019-2021 with certain criteria. The sampling method in this study was purposive sampling by producing a sample of 45 samples. The data analysis technique in this study used Stata14 with the results of Green Accounting research affecting profitability and Corporate Social Responsibility having no effect on profitability. Keywords: Green Accounting, Corporate Social Responsibility, Profitability","author":[{"dropping-particle":"","family":"Ramly , Yayu","given":"Nurul Fuada","non-dropping-particle":"","parse-names":false,"suffix":""}],"container-title":"Jurnal Ekonomi Akuntansi dan Manajemen","id":"ITEM-1","issue":"1","issued":{"date-parts":[["2024"]]},"page":"54","title":"Pengaruh Green Accounting dan Corporate Social Responsibility terhadap Profitabilitas","type":"article-journal","volume":"23"},"uris":["http://www.mendeley.com/documents/?uuid=ae48a935-023d-4c31-a0a0-c2dd77f8e2d4"]}],"mendeley":{"formattedCitation":"(Ramly , Yayu, 2024)","plainTextFormattedCitation":"(Ramly , Yayu, 2024)","previouslyFormattedCitation":"(Ramly , Yayu, 2024)"},"properties":{"noteIndex":0},"schema":"https://github.com/citation-style-language/schema/raw/master/csl-citation.json"}</w:instrText>
      </w:r>
      <w:r w:rsidRPr="004B27B7">
        <w:rPr>
          <w:rFonts w:ascii="Times New Roman" w:hAnsi="Times New Roman" w:cs="Times New Roman"/>
          <w:sz w:val="24"/>
          <w:szCs w:val="24"/>
        </w:rPr>
        <w:fldChar w:fldCharType="separate"/>
      </w:r>
      <w:r w:rsidRPr="004B27B7">
        <w:rPr>
          <w:rFonts w:ascii="Times New Roman" w:hAnsi="Times New Roman" w:cs="Times New Roman"/>
          <w:noProof/>
          <w:sz w:val="24"/>
          <w:szCs w:val="24"/>
        </w:rPr>
        <w:t>(Ramly , Yayu, 2024)</w:t>
      </w:r>
      <w:r w:rsidRPr="004B27B7">
        <w:rPr>
          <w:rFonts w:ascii="Times New Roman" w:hAnsi="Times New Roman" w:cs="Times New Roman"/>
          <w:sz w:val="24"/>
          <w:szCs w:val="24"/>
        </w:rPr>
        <w:fldChar w:fldCharType="end"/>
      </w:r>
      <w:r w:rsidRPr="004B27B7">
        <w:rPr>
          <w:rFonts w:ascii="Times New Roman" w:hAnsi="Times New Roman" w:cs="Times New Roman"/>
          <w:sz w:val="24"/>
          <w:szCs w:val="24"/>
        </w:rPr>
        <w:t xml:space="preserve">. </w:t>
      </w:r>
    </w:p>
    <w:p w14:paraId="38F26118" w14:textId="731A2A17" w:rsidR="007B09DB" w:rsidRDefault="00BE6C70" w:rsidP="003909BF">
      <w:pPr>
        <w:spacing w:line="360" w:lineRule="auto"/>
        <w:ind w:firstLine="720"/>
        <w:jc w:val="both"/>
        <w:rPr>
          <w:rFonts w:ascii="Times New Roman" w:hAnsi="Times New Roman" w:cs="Times New Roman"/>
          <w:sz w:val="24"/>
          <w:szCs w:val="24"/>
        </w:rPr>
      </w:pPr>
      <w:r w:rsidRPr="00BE6C70">
        <w:rPr>
          <w:rFonts w:ascii="Times New Roman" w:hAnsi="Times New Roman" w:cs="Times New Roman"/>
          <w:sz w:val="24"/>
          <w:szCs w:val="24"/>
        </w:rPr>
        <w:t>Mengacu pada jurnal penelitian oleh</w:t>
      </w:r>
      <w:r>
        <w:rPr>
          <w:rFonts w:ascii="Times New Roman" w:hAnsi="Times New Roman" w:cs="Times New Roman"/>
          <w:sz w:val="24"/>
          <w:szCs w:val="24"/>
        </w:rPr>
        <w:t xml:space="preserve"> </w:t>
      </w:r>
      <w:r w:rsidRPr="004B27B7">
        <w:rPr>
          <w:rFonts w:ascii="Times New Roman" w:hAnsi="Times New Roman" w:cs="Times New Roman"/>
          <w:sz w:val="24"/>
          <w:szCs w:val="24"/>
        </w:rPr>
        <w:t xml:space="preserve">Bela et al., </w:t>
      </w:r>
      <w:r w:rsidR="000846BD">
        <w:rPr>
          <w:rFonts w:ascii="Times New Roman" w:hAnsi="Times New Roman" w:cs="Times New Roman"/>
          <w:sz w:val="24"/>
          <w:szCs w:val="24"/>
        </w:rPr>
        <w:t>(</w:t>
      </w:r>
      <w:r w:rsidRPr="004B27B7">
        <w:rPr>
          <w:rFonts w:ascii="Times New Roman" w:hAnsi="Times New Roman" w:cs="Times New Roman"/>
          <w:sz w:val="24"/>
          <w:szCs w:val="24"/>
        </w:rPr>
        <w:t>2023</w:t>
      </w:r>
      <w:r w:rsidR="000846BD">
        <w:rPr>
          <w:rFonts w:ascii="Times New Roman" w:hAnsi="Times New Roman" w:cs="Times New Roman"/>
          <w:sz w:val="24"/>
          <w:szCs w:val="24"/>
        </w:rPr>
        <w:t>)</w:t>
      </w:r>
      <w:r w:rsidRPr="004B27B7">
        <w:rPr>
          <w:rFonts w:ascii="Times New Roman" w:hAnsi="Times New Roman" w:cs="Times New Roman"/>
          <w:sz w:val="24"/>
          <w:szCs w:val="24"/>
        </w:rPr>
        <w:t xml:space="preserve"> Penerapan </w:t>
      </w:r>
      <w:r w:rsidRPr="004B27B7">
        <w:rPr>
          <w:rFonts w:ascii="Times New Roman" w:hAnsi="Times New Roman" w:cs="Times New Roman"/>
          <w:i/>
          <w:iCs/>
          <w:sz w:val="24"/>
          <w:szCs w:val="24"/>
        </w:rPr>
        <w:t>green accounting</w:t>
      </w:r>
      <w:r w:rsidRPr="004B27B7">
        <w:rPr>
          <w:rFonts w:ascii="Times New Roman" w:hAnsi="Times New Roman" w:cs="Times New Roman"/>
          <w:sz w:val="24"/>
          <w:szCs w:val="24"/>
        </w:rPr>
        <w:t xml:space="preserve"> </w:t>
      </w:r>
      <w:r w:rsidRPr="00BE6C70">
        <w:rPr>
          <w:rFonts w:ascii="Times New Roman" w:hAnsi="Times New Roman" w:cs="Times New Roman"/>
          <w:sz w:val="24"/>
          <w:szCs w:val="24"/>
        </w:rPr>
        <w:t>merupakan salah satu bentuk komitmen perusahaan dalam mengelola dampak lingkungan dengan mencatat biaya lingkungan ke dalam laporan keuangan</w:t>
      </w:r>
      <w:r w:rsidR="000846BD">
        <w:rPr>
          <w:rFonts w:ascii="Times New Roman" w:hAnsi="Times New Roman" w:cs="Times New Roman"/>
          <w:sz w:val="24"/>
          <w:szCs w:val="24"/>
        </w:rPr>
        <w:t xml:space="preserve"> </w:t>
      </w:r>
      <w:r w:rsidRPr="004B27B7">
        <w:rPr>
          <w:rFonts w:ascii="Times New Roman" w:hAnsi="Times New Roman" w:cs="Times New Roman"/>
          <w:sz w:val="24"/>
          <w:szCs w:val="24"/>
        </w:rPr>
        <w:fldChar w:fldCharType="begin" w:fldLock="1"/>
      </w:r>
      <w:r w:rsidRPr="004B27B7">
        <w:rPr>
          <w:rFonts w:ascii="Times New Roman" w:hAnsi="Times New Roman" w:cs="Times New Roman"/>
          <w:sz w:val="24"/>
          <w:szCs w:val="24"/>
        </w:rPr>
        <w:instrText>ADDIN CSL_CITATION {"citationItems":[{"id":"ITEM-1","itemData":{"PMID":"38252772","abstract":"BACKGROUND: Despite a relative reduction in the hospitalization rate for heart failure (HF), the actual number of HF hospitalizations remains &gt;1 million annually. More than 80% of patients who are hospitalized are initially seen in the emergency department (ED). Importantly, the ED is the safety net for acute HF (AHF) care. Thus, it is the primary provider for vulnerable patients, including those with low socioeconomic status, minority populations, and those with poor health literacy. Hospitalized patients with HF are among those most frequently readmitted within 30 days; they have up to a 25% risk of readmission within a month and a 50% risk within 6 months of discharge. Events in patients with AHF discharged from the ED are reportedly much higher, and an even greater disparity exists between vulnerable and nonvulnerable patients. Self-care education and other strategies could improve this disparity gap. We proposed studying the impact of a self-care intervention on patients with AHF discharged from the ED. OBJECTIVES: We determined the impact of our self-care intervention on our primary outcome, a composite global rank prioritizing outcomes in the following order: cardiovascular (CV) death, HF event (first ED/clinic revisit or hospital admission), and Kansas City Cardiomyopathy Questionnaire (KCCQ) score at 90 days. We (1) determined the overall impact of our strategy regardless of vulnerable characteristics, (2) explored individual characteristics of vulnerability associated with the highest (and lowest) improvements from our intervention, and (3) assessed the reduction in disparities in our primary outcome between those with and without characteristics of vulnerability. Secondary end points included our primary composite outcome at 30 days, patient satisfaction, HF knowledge, and HF health status based on the KCCQ at 30 and 90 days. METHODS: Patients with AHF who were discharged after a brief ED stay at 15 sites were screened to ensure that they fulfilled our broad inclusion and exclusion criteria: history of HF, not on an outpatient inotrope infusion, systolic blood pressure (BP) &gt;100 mm Hg, and no evidence of an acute coronary syndrome. They were randomly assigned 1:1 to structured usual ED discharge care vs a tailored intervention strategy that focused on self-care strategies over the subsequent 90 days. This intervention was conducted by study team coordinators, nurses, and paramedics trained under an identical protocol. We stratified by site an…","author":[{"dropping-particle":"","family":"A.S.Ayu","given":"Abdullah","non-dropping-particle":"","parse-names":false,"suffix":""}],"container-title":"JURNAL AKUNIDA","id":"ITEM-1","issued":{"date-parts":[["2024"]]},"page":"306-312","title":"KAJIAN GREEN ACCOUNTING, KINERJA LINGKUNGAN, DAN ESG DISCLOSURE TERHADAP PROFITABILITAS STUDY","type":"article-journal","volume":"2"},"uris":["http://www.mendeley.com/documents/?uuid=05a839f1-416e-4b33-8bdb-951d746bf6bf"]}],"mendeley":{"formattedCitation":"(A.S.Ayu, 2024)","plainTextFormattedCitation":"(A.S.Ayu, 2024)","previouslyFormattedCitation":"(A.S.Ayu, 2024)"},"properties":{"noteIndex":0},"schema":"https://github.com/citation-style-language/schema/raw/master/csl-citation.json"}</w:instrText>
      </w:r>
      <w:r w:rsidRPr="004B27B7">
        <w:rPr>
          <w:rFonts w:ascii="Times New Roman" w:hAnsi="Times New Roman" w:cs="Times New Roman"/>
          <w:sz w:val="24"/>
          <w:szCs w:val="24"/>
        </w:rPr>
        <w:fldChar w:fldCharType="separate"/>
      </w:r>
      <w:r w:rsidRPr="004B27B7">
        <w:rPr>
          <w:rFonts w:ascii="Times New Roman" w:hAnsi="Times New Roman" w:cs="Times New Roman"/>
          <w:noProof/>
          <w:sz w:val="24"/>
          <w:szCs w:val="24"/>
        </w:rPr>
        <w:t>(A.S.Ayu, 2024)</w:t>
      </w:r>
      <w:r w:rsidRPr="004B27B7">
        <w:rPr>
          <w:rFonts w:ascii="Times New Roman" w:hAnsi="Times New Roman" w:cs="Times New Roman"/>
          <w:sz w:val="24"/>
          <w:szCs w:val="24"/>
        </w:rPr>
        <w:fldChar w:fldCharType="end"/>
      </w:r>
      <w:r w:rsidRPr="004B27B7">
        <w:rPr>
          <w:rFonts w:ascii="Times New Roman" w:hAnsi="Times New Roman" w:cs="Times New Roman"/>
          <w:sz w:val="24"/>
          <w:szCs w:val="24"/>
        </w:rPr>
        <w:t xml:space="preserve">. </w:t>
      </w:r>
      <w:r w:rsidRPr="00BE6C70">
        <w:rPr>
          <w:rFonts w:ascii="Times New Roman" w:hAnsi="Times New Roman" w:cs="Times New Roman"/>
          <w:sz w:val="24"/>
          <w:szCs w:val="24"/>
        </w:rPr>
        <w:t>Implementasi</w:t>
      </w:r>
      <w:r>
        <w:rPr>
          <w:rFonts w:ascii="Times New Roman" w:hAnsi="Times New Roman" w:cs="Times New Roman"/>
          <w:sz w:val="24"/>
          <w:szCs w:val="24"/>
        </w:rPr>
        <w:t xml:space="preserve"> </w:t>
      </w:r>
      <w:r w:rsidRPr="004B27B7">
        <w:rPr>
          <w:rFonts w:ascii="Times New Roman" w:hAnsi="Times New Roman" w:cs="Times New Roman"/>
          <w:i/>
          <w:iCs/>
          <w:sz w:val="24"/>
          <w:szCs w:val="24"/>
        </w:rPr>
        <w:t>green accounting</w:t>
      </w:r>
      <w:r w:rsidRPr="004B27B7">
        <w:rPr>
          <w:rFonts w:ascii="Times New Roman" w:hAnsi="Times New Roman" w:cs="Times New Roman"/>
          <w:sz w:val="24"/>
          <w:szCs w:val="24"/>
        </w:rPr>
        <w:t xml:space="preserve"> </w:t>
      </w:r>
      <w:r>
        <w:rPr>
          <w:rFonts w:ascii="Times New Roman" w:hAnsi="Times New Roman" w:cs="Times New Roman"/>
          <w:sz w:val="24"/>
          <w:szCs w:val="24"/>
        </w:rPr>
        <w:t>s</w:t>
      </w:r>
      <w:r w:rsidRPr="00BE6C70">
        <w:rPr>
          <w:rFonts w:ascii="Times New Roman" w:hAnsi="Times New Roman" w:cs="Times New Roman"/>
          <w:sz w:val="24"/>
          <w:szCs w:val="24"/>
        </w:rPr>
        <w:t>angat penting bagi semua pihak, terutama perusahaan, untuk mengurangi risiko munculnya biaya yang lebih tinggi di masa depan, seperti tuntutan masyarakat terkait kerusakan lingkungan akibat aktivitas perusahaan, pencabutan izin usaha oleh pemerintah, dan lainnya. Dengan</w:t>
      </w:r>
      <w:r w:rsidR="007B09DB">
        <w:rPr>
          <w:rFonts w:ascii="Times New Roman" w:hAnsi="Times New Roman" w:cs="Times New Roman"/>
          <w:sz w:val="24"/>
          <w:szCs w:val="24"/>
        </w:rPr>
        <w:t xml:space="preserve"> </w:t>
      </w:r>
      <w:r w:rsidR="007B09DB" w:rsidRPr="007B09DB">
        <w:rPr>
          <w:rFonts w:ascii="Times New Roman" w:hAnsi="Times New Roman" w:cs="Times New Roman"/>
          <w:i/>
          <w:iCs/>
          <w:sz w:val="24"/>
          <w:szCs w:val="24"/>
        </w:rPr>
        <w:t>green accounting</w:t>
      </w:r>
      <w:r w:rsidRPr="00BE6C70">
        <w:rPr>
          <w:rFonts w:ascii="Times New Roman" w:hAnsi="Times New Roman" w:cs="Times New Roman"/>
          <w:sz w:val="24"/>
          <w:szCs w:val="24"/>
        </w:rPr>
        <w:t>, perusahaan tidak hanya fokus pada keuntungan yang diperoleh tetapi juga memperhatikan dampak dari kegiatan operasional perusahaan</w:t>
      </w:r>
      <w:r w:rsidR="000846BD">
        <w:rPr>
          <w:rFonts w:ascii="Times New Roman" w:hAnsi="Times New Roman" w:cs="Times New Roman"/>
          <w:sz w:val="24"/>
          <w:szCs w:val="24"/>
        </w:rPr>
        <w:t xml:space="preserve"> </w:t>
      </w:r>
      <w:r w:rsidRPr="004B27B7">
        <w:rPr>
          <w:rFonts w:ascii="Times New Roman" w:hAnsi="Times New Roman" w:cs="Times New Roman"/>
          <w:sz w:val="24"/>
          <w:szCs w:val="24"/>
        </w:rPr>
        <w:fldChar w:fldCharType="begin" w:fldLock="1"/>
      </w:r>
      <w:r w:rsidRPr="004B27B7">
        <w:rPr>
          <w:rFonts w:ascii="Times New Roman" w:hAnsi="Times New Roman" w:cs="Times New Roman"/>
          <w:sz w:val="24"/>
          <w:szCs w:val="24"/>
        </w:rPr>
        <w:instrText>ADDIN CSL_CITATION {"citationItems":[{"id":"ITEM-1","itemData":{"author":[{"dropping-particle":"","family":"Pratama","given":"Daffa Rinaldi","non-dropping-particle":"","parse-names":false,"suffix":""},{"dropping-particle":"","family":"Reptiningsih","given":"Eni","non-dropping-particle":"","parse-names":false,"suffix":""},{"dropping-particle":"","family":"Setyaningsih","given":"Eka Dyah","non-dropping-particle":"","parse-names":false,"suffix":""}],"id":"ITEM-1","issue":"1","issued":{"date-parts":[["2024"]]},"page":"2873-2885","title":"Pengaruh Green Accounting , Kinerja Lingkungan , dan Ukuran Perusahaan Terhadap Nilai Perusahaan Pada Perusahaan Sektor Pertambangan Yang Terdaftar Di Bursa Efek Indonesia","type":"article-journal","volume":"4"},"uris":["http://www.mendeley.com/documents/?uuid=795fd91e-0a15-4e6d-949f-5421d8f663ee"]}],"mendeley":{"formattedCitation":"(Pratama et al., 2024)","plainTextFormattedCitation":"(Pratama et al., 2024)","previouslyFormattedCitation":"(Pratama et al., 2024)"},"properties":{"noteIndex":0},"schema":"https://github.com/citation-style-language/schema/raw/master/csl-citation.json"}</w:instrText>
      </w:r>
      <w:r w:rsidRPr="004B27B7">
        <w:rPr>
          <w:rFonts w:ascii="Times New Roman" w:hAnsi="Times New Roman" w:cs="Times New Roman"/>
          <w:sz w:val="24"/>
          <w:szCs w:val="24"/>
        </w:rPr>
        <w:fldChar w:fldCharType="separate"/>
      </w:r>
      <w:r w:rsidRPr="004B27B7">
        <w:rPr>
          <w:rFonts w:ascii="Times New Roman" w:hAnsi="Times New Roman" w:cs="Times New Roman"/>
          <w:noProof/>
          <w:sz w:val="24"/>
          <w:szCs w:val="24"/>
        </w:rPr>
        <w:t>(Pratama et al., 2024)</w:t>
      </w:r>
      <w:r w:rsidRPr="004B27B7">
        <w:rPr>
          <w:rFonts w:ascii="Times New Roman" w:hAnsi="Times New Roman" w:cs="Times New Roman"/>
          <w:sz w:val="24"/>
          <w:szCs w:val="24"/>
        </w:rPr>
        <w:fldChar w:fldCharType="end"/>
      </w:r>
      <w:r w:rsidRPr="004B27B7">
        <w:rPr>
          <w:rFonts w:ascii="Times New Roman" w:hAnsi="Times New Roman" w:cs="Times New Roman"/>
          <w:sz w:val="24"/>
          <w:szCs w:val="24"/>
        </w:rPr>
        <w:t xml:space="preserve">. </w:t>
      </w:r>
      <w:r w:rsidR="007B09DB" w:rsidRPr="007B09DB">
        <w:rPr>
          <w:rFonts w:ascii="Times New Roman" w:hAnsi="Times New Roman" w:cs="Times New Roman"/>
          <w:sz w:val="24"/>
          <w:szCs w:val="24"/>
        </w:rPr>
        <w:t xml:space="preserve">Penerapan biaya lingkungan dapat dilihat sebagai investasi jangka panjang yang tidak hanya mendukung perusahaan dalam menangani masalah lingkungan, tetapi juga meningkatkan kepercayaan masyarakat. Di samping itu, penerapan </w:t>
      </w:r>
      <w:r w:rsidR="007B09DB" w:rsidRPr="007B09DB">
        <w:rPr>
          <w:rFonts w:ascii="Times New Roman" w:hAnsi="Times New Roman" w:cs="Times New Roman"/>
          <w:i/>
          <w:iCs/>
          <w:sz w:val="24"/>
          <w:szCs w:val="24"/>
        </w:rPr>
        <w:t>green accounting</w:t>
      </w:r>
      <w:r w:rsidR="007B09DB">
        <w:rPr>
          <w:rFonts w:ascii="Times New Roman" w:hAnsi="Times New Roman" w:cs="Times New Roman"/>
          <w:sz w:val="24"/>
          <w:szCs w:val="24"/>
        </w:rPr>
        <w:t xml:space="preserve"> </w:t>
      </w:r>
      <w:r w:rsidR="007B09DB" w:rsidRPr="007B09DB">
        <w:rPr>
          <w:rFonts w:ascii="Times New Roman" w:hAnsi="Times New Roman" w:cs="Times New Roman"/>
          <w:sz w:val="24"/>
          <w:szCs w:val="24"/>
        </w:rPr>
        <w:t>memungkinkan perusahaan untuk menganalisis dan melaporkan biaya lingkungan secara terperinci, sehingga mendukung efisiensi operasional serta mengurangi pencemaran dari kegiatan produksi</w:t>
      </w:r>
      <w:r w:rsidR="000846BD">
        <w:rPr>
          <w:rFonts w:ascii="Times New Roman" w:hAnsi="Times New Roman" w:cs="Times New Roman"/>
          <w:sz w:val="24"/>
          <w:szCs w:val="24"/>
        </w:rPr>
        <w:t xml:space="preserve"> </w:t>
      </w:r>
      <w:r w:rsidRPr="004B27B7">
        <w:rPr>
          <w:rFonts w:ascii="Times New Roman" w:hAnsi="Times New Roman" w:cs="Times New Roman"/>
          <w:sz w:val="24"/>
          <w:szCs w:val="24"/>
        </w:rPr>
        <w:fldChar w:fldCharType="begin" w:fldLock="1"/>
      </w:r>
      <w:r w:rsidRPr="004B27B7">
        <w:rPr>
          <w:rFonts w:ascii="Times New Roman" w:hAnsi="Times New Roman" w:cs="Times New Roman"/>
          <w:sz w:val="24"/>
          <w:szCs w:val="24"/>
        </w:rPr>
        <w:instrText>ADDIN CSL_CITATION {"citationItems":[{"id":"ITEM-1","itemData":{"author":[{"dropping-particle":"","family":"Kartika Wulandhari","given":"Nera Marinda Machdar","non-dropping-particle":"","parse-names":false,"suffix":""}],"id":"ITEM-1","issued":{"date-parts":[["2025"]]},"title":"Kontribusi Biaya Lingkungan , Green Accounting , CSR , dan Ukuran","type":"article-journal","volume":"3"},"uris":["http://www.mendeley.com/documents/?uuid=8f886ab8-edfd-49a8-bc1e-e0deee2ff1b7"]}],"mendeley":{"formattedCitation":"(Kartika Wulandhari, 2025)","plainTextFormattedCitation":"(Kartika Wulandhari, 2025)","previouslyFormattedCitation":"(Kartika Wulandhari, 2025)"},"properties":{"noteIndex":0},"schema":"https://github.com/citation-style-language/schema/raw/master/csl-citation.json"}</w:instrText>
      </w:r>
      <w:r w:rsidRPr="004B27B7">
        <w:rPr>
          <w:rFonts w:ascii="Times New Roman" w:hAnsi="Times New Roman" w:cs="Times New Roman"/>
          <w:sz w:val="24"/>
          <w:szCs w:val="24"/>
        </w:rPr>
        <w:fldChar w:fldCharType="separate"/>
      </w:r>
      <w:r w:rsidRPr="004B27B7">
        <w:rPr>
          <w:rFonts w:ascii="Times New Roman" w:hAnsi="Times New Roman" w:cs="Times New Roman"/>
          <w:noProof/>
          <w:sz w:val="24"/>
          <w:szCs w:val="24"/>
        </w:rPr>
        <w:t>(Kartika Wulandhari, 2025)</w:t>
      </w:r>
      <w:r w:rsidRPr="004B27B7">
        <w:rPr>
          <w:rFonts w:ascii="Times New Roman" w:hAnsi="Times New Roman" w:cs="Times New Roman"/>
          <w:sz w:val="24"/>
          <w:szCs w:val="24"/>
        </w:rPr>
        <w:fldChar w:fldCharType="end"/>
      </w:r>
      <w:r w:rsidRPr="004B27B7">
        <w:rPr>
          <w:rFonts w:ascii="Times New Roman" w:hAnsi="Times New Roman" w:cs="Times New Roman"/>
          <w:sz w:val="24"/>
          <w:szCs w:val="24"/>
        </w:rPr>
        <w:t>.</w:t>
      </w:r>
    </w:p>
    <w:p w14:paraId="59A2D2FA" w14:textId="698AF959" w:rsidR="00E86782" w:rsidRDefault="007B09DB" w:rsidP="000846BD">
      <w:pPr>
        <w:spacing w:line="360" w:lineRule="auto"/>
        <w:ind w:firstLine="720"/>
        <w:jc w:val="both"/>
        <w:rPr>
          <w:rFonts w:ascii="Times New Roman" w:hAnsi="Times New Roman" w:cs="Times New Roman"/>
          <w:sz w:val="24"/>
          <w:szCs w:val="24"/>
        </w:rPr>
      </w:pPr>
      <w:r w:rsidRPr="007B09DB">
        <w:rPr>
          <w:rFonts w:ascii="Times New Roman" w:hAnsi="Times New Roman" w:cs="Times New Roman"/>
          <w:sz w:val="24"/>
          <w:szCs w:val="24"/>
        </w:rPr>
        <w:t>Jaringan Advokasi Tambang (JATAM) pada tahun 2020 mendokumentasikan 45 k</w:t>
      </w:r>
      <w:r>
        <w:rPr>
          <w:rFonts w:ascii="Times New Roman" w:hAnsi="Times New Roman" w:cs="Times New Roman"/>
          <w:sz w:val="24"/>
          <w:szCs w:val="24"/>
        </w:rPr>
        <w:t>asus</w:t>
      </w:r>
      <w:r w:rsidRPr="007B09DB">
        <w:rPr>
          <w:rFonts w:ascii="Times New Roman" w:hAnsi="Times New Roman" w:cs="Times New Roman"/>
          <w:sz w:val="24"/>
          <w:szCs w:val="24"/>
        </w:rPr>
        <w:t xml:space="preserve"> pertambangan yang menyebabkan kerusakan lingkungan seluas 714.692 Ha, jumlah konflik pertambangan ini meningkat signifikan dari 11 k</w:t>
      </w:r>
      <w:r>
        <w:rPr>
          <w:rFonts w:ascii="Times New Roman" w:hAnsi="Times New Roman" w:cs="Times New Roman"/>
          <w:sz w:val="24"/>
          <w:szCs w:val="24"/>
        </w:rPr>
        <w:t>asus</w:t>
      </w:r>
      <w:r w:rsidRPr="007B09DB">
        <w:rPr>
          <w:rFonts w:ascii="Times New Roman" w:hAnsi="Times New Roman" w:cs="Times New Roman"/>
          <w:sz w:val="24"/>
          <w:szCs w:val="24"/>
        </w:rPr>
        <w:t xml:space="preserve"> yang tercatat di tahun 2019, kini menjadi lima kali lipat. JATAM Nasional mencatat bahwa sampai tahun 2020 ada 3.092 lubang hasil galian tambang dan tidak ada tindakan pemulihan atau reklamasi</w:t>
      </w:r>
      <w:r>
        <w:rPr>
          <w:rFonts w:ascii="Times New Roman" w:hAnsi="Times New Roman" w:cs="Times New Roman"/>
          <w:sz w:val="24"/>
          <w:szCs w:val="24"/>
        </w:rPr>
        <w:t xml:space="preserve">. </w:t>
      </w:r>
      <w:r w:rsidRPr="007B09DB">
        <w:rPr>
          <w:rFonts w:ascii="Times New Roman" w:hAnsi="Times New Roman" w:cs="Times New Roman"/>
          <w:sz w:val="24"/>
          <w:szCs w:val="24"/>
        </w:rPr>
        <w:t xml:space="preserve">Distribusi lubang hasil tambang tersebut terletak di Sulawesi Selatan (2), Kalimantan Timur (1.735), Kalimantan Utara (44), Kalimantan Selatan (814), Banten (2), Sumatera Selatan (163), Lampung (9), Jambi </w:t>
      </w:r>
      <w:r w:rsidRPr="007B09DB">
        <w:rPr>
          <w:rFonts w:ascii="Times New Roman" w:hAnsi="Times New Roman" w:cs="Times New Roman"/>
          <w:sz w:val="24"/>
          <w:szCs w:val="24"/>
        </w:rPr>
        <w:lastRenderedPageBreak/>
        <w:t>(59), Sumatera Barat (22), Bengkulu (54), Aceh (6), dan Riau (19)</w:t>
      </w:r>
      <w:r w:rsidR="000846BD">
        <w:rPr>
          <w:rFonts w:ascii="Times New Roman" w:hAnsi="Times New Roman" w:cs="Times New Roman"/>
          <w:sz w:val="24"/>
          <w:szCs w:val="24"/>
        </w:rPr>
        <w:t xml:space="preserve"> </w:t>
      </w:r>
      <w:r w:rsidRPr="004B27B7">
        <w:rPr>
          <w:rFonts w:ascii="Times New Roman" w:hAnsi="Times New Roman" w:cs="Times New Roman"/>
          <w:sz w:val="24"/>
          <w:szCs w:val="24"/>
        </w:rPr>
        <w:fldChar w:fldCharType="begin" w:fldLock="1"/>
      </w:r>
      <w:r w:rsidRPr="004B27B7">
        <w:rPr>
          <w:rFonts w:ascii="Times New Roman" w:hAnsi="Times New Roman" w:cs="Times New Roman"/>
          <w:sz w:val="24"/>
          <w:szCs w:val="24"/>
        </w:rPr>
        <w:instrText>ADDIN CSL_CITATION {"citationItems":[{"id":"ITEM-1","itemData":{"author":[{"dropping-particle":"","family":"Fauzi","given":"Rizki Muhammad","non-dropping-particle":"","parse-names":false,"suffix":""},{"dropping-particle":"","family":"Nulhaqim","given":"Soni A","non-dropping-particle":"","parse-names":false,"suffix":""}],"container-title":"Jurnal Kolaborasi Resolusi Konflik","id":"ITEM-1","issue":"1","issued":{"date-parts":[["2024"]]},"page":"34-41","title":"Masalah Konflik Pertambangan di Indonesia [Mining Conflict Issues in Indonesia]","type":"article-journal","volume":"6"},"uris":["http://www.mendeley.com/documents/?uuid=f72faef5-5bbe-4d3d-8907-91731a8ff1d5"]}],"mendeley":{"formattedCitation":"(Fauzi &amp; Nulhaqim, 2024)","plainTextFormattedCitation":"(Fauzi &amp; Nulhaqim, 2024)","previouslyFormattedCitation":"(Fauzi &amp; Nulhaqim, 2024)"},"properties":{"noteIndex":0},"schema":"https://github.com/citation-style-language/schema/raw/master/csl-citation.json"}</w:instrText>
      </w:r>
      <w:r w:rsidRPr="004B27B7">
        <w:rPr>
          <w:rFonts w:ascii="Times New Roman" w:hAnsi="Times New Roman" w:cs="Times New Roman"/>
          <w:sz w:val="24"/>
          <w:szCs w:val="24"/>
        </w:rPr>
        <w:fldChar w:fldCharType="separate"/>
      </w:r>
      <w:r w:rsidRPr="004B27B7">
        <w:rPr>
          <w:rFonts w:ascii="Times New Roman" w:hAnsi="Times New Roman" w:cs="Times New Roman"/>
          <w:noProof/>
          <w:sz w:val="24"/>
          <w:szCs w:val="24"/>
        </w:rPr>
        <w:t>(Fauzi &amp; Nulhaqim, 2024)</w:t>
      </w:r>
      <w:r w:rsidRPr="004B27B7">
        <w:rPr>
          <w:rFonts w:ascii="Times New Roman" w:hAnsi="Times New Roman" w:cs="Times New Roman"/>
          <w:sz w:val="24"/>
          <w:szCs w:val="24"/>
        </w:rPr>
        <w:fldChar w:fldCharType="end"/>
      </w:r>
      <w:r w:rsidRPr="004B27B7">
        <w:rPr>
          <w:rFonts w:ascii="Times New Roman" w:hAnsi="Times New Roman" w:cs="Times New Roman"/>
          <w:sz w:val="24"/>
          <w:szCs w:val="24"/>
        </w:rPr>
        <w:t>.</w:t>
      </w:r>
      <w:r w:rsidR="000846BD">
        <w:rPr>
          <w:rFonts w:ascii="Times New Roman" w:hAnsi="Times New Roman" w:cs="Times New Roman"/>
          <w:sz w:val="24"/>
          <w:szCs w:val="24"/>
        </w:rPr>
        <w:t xml:space="preserve"> </w:t>
      </w:r>
      <w:r w:rsidRPr="007B09DB">
        <w:rPr>
          <w:rFonts w:ascii="Times New Roman" w:hAnsi="Times New Roman" w:cs="Times New Roman"/>
          <w:sz w:val="24"/>
          <w:szCs w:val="24"/>
        </w:rPr>
        <w:t>Regulator pemerintah juga telah mengatur Green Accounting dalam UU No. 32 Tahun 2009 tentang Perlindungan dan Pengelolaan Lingkungan Hidup: Pasal 67: "Setiap individu wajib menjaga kelestarian fungsi lingkungan serta mengendalikan pencemaran dan/atau kerusakan lingkungan."</w:t>
      </w:r>
      <w:r>
        <w:rPr>
          <w:rFonts w:ascii="Times New Roman" w:hAnsi="Times New Roman" w:cs="Times New Roman"/>
          <w:sz w:val="24"/>
          <w:szCs w:val="24"/>
        </w:rPr>
        <w:t xml:space="preserve"> </w:t>
      </w:r>
      <w:r w:rsidRPr="004B27B7">
        <w:rPr>
          <w:rFonts w:ascii="Times New Roman" w:hAnsi="Times New Roman" w:cs="Times New Roman"/>
          <w:sz w:val="24"/>
          <w:szCs w:val="24"/>
        </w:rPr>
        <w:t xml:space="preserve">Pasal 68: </w:t>
      </w:r>
      <w:r w:rsidRPr="007B09DB">
        <w:rPr>
          <w:rFonts w:ascii="Times New Roman" w:hAnsi="Times New Roman" w:cs="Times New Roman"/>
          <w:sz w:val="24"/>
          <w:szCs w:val="24"/>
        </w:rPr>
        <w:t xml:space="preserve">Mengharuskan perusahaan untuk: </w:t>
      </w:r>
      <w:r w:rsidRPr="004B27B7">
        <w:rPr>
          <w:rFonts w:ascii="Times New Roman" w:hAnsi="Times New Roman" w:cs="Times New Roman"/>
          <w:sz w:val="24"/>
          <w:szCs w:val="24"/>
        </w:rPr>
        <w:t xml:space="preserve">1). </w:t>
      </w:r>
      <w:r w:rsidRPr="007B09DB">
        <w:rPr>
          <w:rFonts w:ascii="Times New Roman" w:hAnsi="Times New Roman" w:cs="Times New Roman"/>
          <w:sz w:val="24"/>
          <w:szCs w:val="24"/>
        </w:rPr>
        <w:t>Menyediakan data yang berhubungan dengan pelestarian lingkungan;</w:t>
      </w:r>
      <w:r>
        <w:rPr>
          <w:rFonts w:ascii="Times New Roman" w:hAnsi="Times New Roman" w:cs="Times New Roman"/>
          <w:sz w:val="24"/>
          <w:szCs w:val="24"/>
        </w:rPr>
        <w:t xml:space="preserve"> </w:t>
      </w:r>
      <w:r w:rsidRPr="004B27B7">
        <w:rPr>
          <w:rFonts w:ascii="Times New Roman" w:hAnsi="Times New Roman" w:cs="Times New Roman"/>
          <w:sz w:val="24"/>
          <w:szCs w:val="24"/>
        </w:rPr>
        <w:t>2).</w:t>
      </w:r>
      <w:r w:rsidRPr="007B09DB">
        <w:rPr>
          <w:rFonts w:ascii="Times New Roman" w:eastAsia="Times New Roman" w:hAnsi="Times New Roman" w:cs="Times New Roman"/>
          <w:sz w:val="24"/>
          <w:szCs w:val="24"/>
          <w:lang w:eastAsia="id-ID"/>
        </w:rPr>
        <w:t xml:space="preserve"> </w:t>
      </w:r>
      <w:r>
        <w:rPr>
          <w:rFonts w:ascii="Times New Roman" w:eastAsia="Times New Roman" w:hAnsi="Times New Roman" w:cs="Times New Roman"/>
          <w:sz w:val="24"/>
          <w:szCs w:val="24"/>
          <w:lang w:eastAsia="id-ID"/>
        </w:rPr>
        <w:t>M</w:t>
      </w:r>
      <w:r w:rsidRPr="007B09DB">
        <w:rPr>
          <w:rFonts w:ascii="Times New Roman" w:hAnsi="Times New Roman" w:cs="Times New Roman"/>
          <w:sz w:val="24"/>
          <w:szCs w:val="24"/>
        </w:rPr>
        <w:t>emelihara kelangsungan fungsi ekosistem</w:t>
      </w:r>
      <w:r w:rsidRPr="004B27B7">
        <w:rPr>
          <w:rFonts w:ascii="Times New Roman" w:hAnsi="Times New Roman" w:cs="Times New Roman"/>
          <w:sz w:val="24"/>
          <w:szCs w:val="24"/>
        </w:rPr>
        <w:t>; 3).</w:t>
      </w:r>
      <w:r w:rsidR="005203B6">
        <w:rPr>
          <w:rFonts w:ascii="Times New Roman" w:hAnsi="Times New Roman" w:cs="Times New Roman"/>
          <w:sz w:val="24"/>
          <w:szCs w:val="24"/>
        </w:rPr>
        <w:t xml:space="preserve"> </w:t>
      </w:r>
      <w:r w:rsidRPr="007B09DB">
        <w:rPr>
          <w:rFonts w:ascii="Times New Roman" w:hAnsi="Times New Roman" w:cs="Times New Roman"/>
          <w:sz w:val="24"/>
          <w:szCs w:val="24"/>
        </w:rPr>
        <w:t>Mematuhi standar kualitas lingkungan</w:t>
      </w:r>
      <w:r w:rsidR="000846BD">
        <w:rPr>
          <w:rFonts w:ascii="Times New Roman" w:hAnsi="Times New Roman" w:cs="Times New Roman"/>
          <w:sz w:val="24"/>
          <w:szCs w:val="24"/>
        </w:rPr>
        <w:t xml:space="preserve"> </w:t>
      </w:r>
      <w:r w:rsidRPr="004B27B7">
        <w:rPr>
          <w:rFonts w:ascii="Times New Roman" w:hAnsi="Times New Roman" w:cs="Times New Roman"/>
          <w:sz w:val="24"/>
          <w:szCs w:val="24"/>
        </w:rPr>
        <w:fldChar w:fldCharType="begin" w:fldLock="1"/>
      </w:r>
      <w:r w:rsidRPr="004B27B7">
        <w:rPr>
          <w:rFonts w:ascii="Times New Roman" w:hAnsi="Times New Roman" w:cs="Times New Roman"/>
          <w:sz w:val="24"/>
          <w:szCs w:val="24"/>
        </w:rPr>
        <w:instrText>ADDIN CSL_CITATION {"citationItems":[{"id":"ITEM-1","itemData":{"author":[{"dropping-particle":"","family":"Laowo","given":"Yonathan Sebastian","non-dropping-particle":"","parse-names":false,"suffix":""},{"dropping-particle":"","family":"Zai","given":"Aca Surya","non-dropping-particle":"","parse-names":false,"suffix":""},{"dropping-particle":"","family":"Fakultas","given":"Dosen","non-dropping-particle":"","parse-names":false,"suffix":""},{"dropping-particle":"","family":"Universitas","given":"Hukum","non-dropping-particle":"","parse-names":false,"suffix":""},{"dropping-particle":"","family":"Raya","given":"Nias","non-dropping-particle":"","parse-names":false,"suffix":""},{"dropping-particle":"","family":"Hidup","given":"Lingkungan","non-dropping-particle":"","parse-names":false,"suffix":""}],"id":"ITEM-1","issued":{"date-parts":[["2022"]]},"title":"Tentang Perlindungan Dan Pengololaan","type":"article-journal"},"uris":["http://www.mendeley.com/documents/?uuid=af5e8a8a-2fec-4327-b3ff-93380a7dcac8"]}],"mendeley":{"formattedCitation":"(Laowo et al., 2022)","plainTextFormattedCitation":"(Laowo et al., 2022)","previouslyFormattedCitation":"(Laowo et al., 2022)"},"properties":{"noteIndex":0},"schema":"https://github.com/citation-style-language/schema/raw/master/csl-citation.json"}</w:instrText>
      </w:r>
      <w:r w:rsidRPr="004B27B7">
        <w:rPr>
          <w:rFonts w:ascii="Times New Roman" w:hAnsi="Times New Roman" w:cs="Times New Roman"/>
          <w:sz w:val="24"/>
          <w:szCs w:val="24"/>
        </w:rPr>
        <w:fldChar w:fldCharType="separate"/>
      </w:r>
      <w:r w:rsidRPr="004B27B7">
        <w:rPr>
          <w:rFonts w:ascii="Times New Roman" w:hAnsi="Times New Roman" w:cs="Times New Roman"/>
          <w:noProof/>
          <w:sz w:val="24"/>
          <w:szCs w:val="24"/>
        </w:rPr>
        <w:t>(Laowo et al., 2022)</w:t>
      </w:r>
      <w:r w:rsidRPr="004B27B7">
        <w:rPr>
          <w:rFonts w:ascii="Times New Roman" w:hAnsi="Times New Roman" w:cs="Times New Roman"/>
          <w:sz w:val="24"/>
          <w:szCs w:val="24"/>
        </w:rPr>
        <w:fldChar w:fldCharType="end"/>
      </w:r>
      <w:r w:rsidRPr="004B27B7">
        <w:rPr>
          <w:rFonts w:ascii="Times New Roman" w:hAnsi="Times New Roman" w:cs="Times New Roman"/>
          <w:sz w:val="24"/>
          <w:szCs w:val="24"/>
        </w:rPr>
        <w:t xml:space="preserve">. PP No. 22 Tahun 2021 </w:t>
      </w:r>
      <w:r w:rsidR="00325E30">
        <w:rPr>
          <w:rFonts w:ascii="Times New Roman" w:hAnsi="Times New Roman" w:cs="Times New Roman"/>
          <w:sz w:val="24"/>
          <w:szCs w:val="24"/>
        </w:rPr>
        <w:t xml:space="preserve">mengenai </w:t>
      </w:r>
      <w:r w:rsidRPr="004B27B7">
        <w:rPr>
          <w:rFonts w:ascii="Times New Roman" w:hAnsi="Times New Roman" w:cs="Times New Roman"/>
          <w:sz w:val="24"/>
          <w:szCs w:val="24"/>
        </w:rPr>
        <w:t>Penyelenggaraan Perlindungan dan Pengelolaan Lingkungan Hidup</w:t>
      </w:r>
      <w:r w:rsidR="00325E30">
        <w:rPr>
          <w:rFonts w:ascii="Times New Roman" w:hAnsi="Times New Roman" w:cs="Times New Roman"/>
          <w:sz w:val="24"/>
          <w:szCs w:val="24"/>
        </w:rPr>
        <w:t xml:space="preserve"> m</w:t>
      </w:r>
      <w:r w:rsidRPr="004B27B7">
        <w:rPr>
          <w:rFonts w:ascii="Times New Roman" w:hAnsi="Times New Roman" w:cs="Times New Roman"/>
          <w:sz w:val="24"/>
          <w:szCs w:val="24"/>
        </w:rPr>
        <w:t>engatur tentang: 1).</w:t>
      </w:r>
      <w:r w:rsidR="005203B6">
        <w:rPr>
          <w:rFonts w:ascii="Times New Roman" w:hAnsi="Times New Roman" w:cs="Times New Roman"/>
          <w:sz w:val="24"/>
          <w:szCs w:val="24"/>
        </w:rPr>
        <w:t xml:space="preserve"> </w:t>
      </w:r>
      <w:r w:rsidR="00325E30">
        <w:rPr>
          <w:rFonts w:ascii="Times New Roman" w:hAnsi="Times New Roman" w:cs="Times New Roman"/>
          <w:sz w:val="24"/>
          <w:szCs w:val="24"/>
        </w:rPr>
        <w:t>Studi</w:t>
      </w:r>
      <w:r w:rsidRPr="004B27B7">
        <w:rPr>
          <w:rFonts w:ascii="Times New Roman" w:hAnsi="Times New Roman" w:cs="Times New Roman"/>
          <w:sz w:val="24"/>
          <w:szCs w:val="24"/>
        </w:rPr>
        <w:t xml:space="preserve"> Lingkungan Hidup Strategis; 2). AMDAL dan UKL-UPL; 3). Izin Lingkungan; 4). </w:t>
      </w:r>
      <w:r w:rsidR="00325E30">
        <w:rPr>
          <w:rFonts w:ascii="Times New Roman" w:hAnsi="Times New Roman" w:cs="Times New Roman"/>
          <w:sz w:val="24"/>
          <w:szCs w:val="24"/>
        </w:rPr>
        <w:t>Pemeriksaan</w:t>
      </w:r>
      <w:r w:rsidRPr="004B27B7">
        <w:rPr>
          <w:rFonts w:ascii="Times New Roman" w:hAnsi="Times New Roman" w:cs="Times New Roman"/>
          <w:sz w:val="24"/>
          <w:szCs w:val="24"/>
        </w:rPr>
        <w:t xml:space="preserve"> Lingkungan Hidup</w:t>
      </w:r>
      <w:r w:rsidR="000846BD">
        <w:rPr>
          <w:rFonts w:ascii="Times New Roman" w:hAnsi="Times New Roman" w:cs="Times New Roman"/>
          <w:sz w:val="24"/>
          <w:szCs w:val="24"/>
        </w:rPr>
        <w:t xml:space="preserve"> </w:t>
      </w:r>
      <w:r w:rsidRPr="004B27B7">
        <w:rPr>
          <w:rFonts w:ascii="Times New Roman" w:hAnsi="Times New Roman" w:cs="Times New Roman"/>
          <w:sz w:val="24"/>
          <w:szCs w:val="24"/>
        </w:rPr>
        <w:fldChar w:fldCharType="begin" w:fldLock="1"/>
      </w:r>
      <w:r w:rsidRPr="004B27B7">
        <w:rPr>
          <w:rFonts w:ascii="Times New Roman" w:hAnsi="Times New Roman" w:cs="Times New Roman"/>
          <w:sz w:val="24"/>
          <w:szCs w:val="24"/>
        </w:rPr>
        <w:instrText>ADDIN CSL_CITATION {"citationItems":[{"id":"ITEM-1","itemData":{"DOI":"10.34208/mia.v12i1.36","ISSN":"2338-1205","abstract":"This study aims to uncover waste management activities and environmental costs of environmental cost reporting at the Islamic Hospital of Banjarmasin. This researcher uses a qualitative paradigm with a case study design. The research scope is the Unit of Environmental Health Sanitation with the accounting process of environmental management, hospital waste management's data focus, and expenditures for waste costs. Primary data were collected through in-depth interviews and observations; secondary data, through documentation. The results revealed that environmental management accounting systems in 2019 and 2020 found hidden environmental costs from waste management cost reports in the Financial Statements. For example, the environmental cost report applied to the SKL Unit revealed Rp. 677,646,500 and Rp. 459,521,600 not presented as an environmental cost in 2019 and 2020. The implementation of environmental cost accounting through environmental cost reporting at the Islamic Hospital of Banjarmasin revealed that special reports in environmental management accounting could be used as information by the management of the Islamic Hospital of Banjarmasin in planning and controlling environmental responsibility activities. The study results also revealed that the environmental cost report facilitated the direction of the Islamic Hospital of Banjarmasin in making decisions related to environmental costs and provided information for stakeholders that the hospital had been responsible for maintaining environmental health.","author":[{"dropping-particle":"","family":"Riyadi","given":"Padlah","non-dropping-particle":"","parse-names":false,"suffix":""}],"container-title":"Media Ilmiah Akuntansi","id":"ITEM-1","issue":"1","issued":{"date-parts":[["2024"]]},"page":"1-24","title":"Analysis of The Implementation of Environmental Costs Case Study at Banjarmasin Islamic Hospital","type":"article-journal","volume":"12"},"uris":["http://www.mendeley.com/documents/?uuid=c67493d4-9274-499e-8cd9-1431c3ed1e5f"]}],"mendeley":{"formattedCitation":"(Riyadi, 2024)","plainTextFormattedCitation":"(Riyadi, 2024)","previouslyFormattedCitation":"(Riyadi, 2024)"},"properties":{"noteIndex":0},"schema":"https://github.com/citation-style-language/schema/raw/master/csl-citation.json"}</w:instrText>
      </w:r>
      <w:r w:rsidRPr="004B27B7">
        <w:rPr>
          <w:rFonts w:ascii="Times New Roman" w:hAnsi="Times New Roman" w:cs="Times New Roman"/>
          <w:sz w:val="24"/>
          <w:szCs w:val="24"/>
        </w:rPr>
        <w:fldChar w:fldCharType="separate"/>
      </w:r>
      <w:r w:rsidRPr="004B27B7">
        <w:rPr>
          <w:rFonts w:ascii="Times New Roman" w:hAnsi="Times New Roman" w:cs="Times New Roman"/>
          <w:noProof/>
          <w:sz w:val="24"/>
          <w:szCs w:val="24"/>
        </w:rPr>
        <w:t>(Riyadi, 2024)</w:t>
      </w:r>
      <w:r w:rsidRPr="004B27B7">
        <w:rPr>
          <w:rFonts w:ascii="Times New Roman" w:hAnsi="Times New Roman" w:cs="Times New Roman"/>
          <w:sz w:val="24"/>
          <w:szCs w:val="24"/>
        </w:rPr>
        <w:fldChar w:fldCharType="end"/>
      </w:r>
      <w:r w:rsidRPr="004B27B7">
        <w:rPr>
          <w:rFonts w:ascii="Times New Roman" w:hAnsi="Times New Roman" w:cs="Times New Roman"/>
          <w:sz w:val="24"/>
          <w:szCs w:val="24"/>
        </w:rPr>
        <w:t>.</w:t>
      </w:r>
    </w:p>
    <w:p w14:paraId="6C7114B9" w14:textId="0517C723" w:rsidR="00781445" w:rsidRDefault="00000000" w:rsidP="003909BF">
      <w:pPr>
        <w:spacing w:line="360" w:lineRule="auto"/>
        <w:ind w:firstLine="720"/>
        <w:jc w:val="both"/>
        <w:rPr>
          <w:rFonts w:ascii="Times New Roman" w:hAnsi="Times New Roman" w:cs="Times New Roman"/>
          <w:sz w:val="24"/>
          <w:szCs w:val="24"/>
        </w:rPr>
      </w:pPr>
      <w:r w:rsidRPr="004B27B7">
        <w:rPr>
          <w:rFonts w:ascii="Times New Roman" w:hAnsi="Times New Roman" w:cs="Times New Roman"/>
          <w:i/>
          <w:iCs/>
          <w:sz w:val="24"/>
          <w:szCs w:val="24"/>
        </w:rPr>
        <w:t>Green accounting</w:t>
      </w:r>
      <w:r w:rsidRPr="004B27B7">
        <w:rPr>
          <w:rFonts w:ascii="Times New Roman" w:hAnsi="Times New Roman" w:cs="Times New Roman"/>
          <w:sz w:val="24"/>
          <w:szCs w:val="24"/>
        </w:rPr>
        <w:t xml:space="preserve"> </w:t>
      </w:r>
      <w:r w:rsidR="00325E30" w:rsidRPr="00325E30">
        <w:rPr>
          <w:rFonts w:ascii="Times New Roman" w:hAnsi="Times New Roman" w:cs="Times New Roman"/>
          <w:sz w:val="24"/>
          <w:szCs w:val="24"/>
        </w:rPr>
        <w:t>adalah istilah yang berusaha untuk mengidentifikasi pengeluaran yang dilakukan perusahaan dalam upaya menjaga lingkungan ke dalam kategori lingkungan dalam praktik bisnis perusahaan, dari kegiatan perlindungan lingkungan ini nantinya akan timbul biaya lingkungan yang harus ditanggung oleh perusahaan</w:t>
      </w:r>
      <w:r w:rsidR="000846BD">
        <w:rPr>
          <w:rFonts w:ascii="Times New Roman" w:hAnsi="Times New Roman" w:cs="Times New Roman"/>
          <w:sz w:val="24"/>
          <w:szCs w:val="24"/>
        </w:rPr>
        <w:t xml:space="preserve"> </w:t>
      </w:r>
      <w:r w:rsidRPr="004B27B7">
        <w:rPr>
          <w:rFonts w:ascii="Times New Roman" w:hAnsi="Times New Roman" w:cs="Times New Roman"/>
          <w:sz w:val="24"/>
          <w:szCs w:val="24"/>
        </w:rPr>
        <w:fldChar w:fldCharType="begin" w:fldLock="1"/>
      </w:r>
      <w:r w:rsidRPr="004B27B7">
        <w:rPr>
          <w:rFonts w:ascii="Times New Roman" w:hAnsi="Times New Roman" w:cs="Times New Roman"/>
          <w:sz w:val="24"/>
          <w:szCs w:val="24"/>
        </w:rPr>
        <w:instrText>ADDIN CSL_CITATION {"citationItems":[{"id":"ITEM-1","itemData":{"abstract":"This study aims to determine how the environment on the accounting treatment of waste pengelolahan Hospital in Jember Lungs regarding identification, measurement, recognition, presentation and disclosure. Research conducted at the Hospital of Lung Jember, using primary data and secondary data. Research type used is qualitative data. Data collection technique used observation, interview and documentation. Data analysis technique is done by comparing the results of interviews and documentation to determine the accounting treatment of hospital waste management by comparing it with SFAS No. 33 About Accounting General Mining governing PLH (pengelolahan Environment). Based on the results of this research is that the costs of hospital waste lung pengelolahan jember consisting of procurement costs, maintenance costs, the cost of consumables, the cost of inspection costs, and freight costs. The hospital also has done stage accounting treatment for the management of the waste that has been done.","author":[{"dropping-particle":"","family":"Islamey","given":"Fika Erisya","non-dropping-particle":"","parse-names":false,"suffix":""}],"container-title":"Jurnal Fakultas Ekonomi Universitas Muhammadiyah Jember","id":"ITEM-1","issue":"1","issued":{"date-parts":[["2021"]]},"page":"1-20","title":"Perlakuan Akuntansi Lingkungan Terhadap Pengelolaan Limbah Pada Rumah Sakit Paru Jember","type":"article-journal","volume":"1"},"uris":["http://www.mendeley.com/documents/?uuid=5892a25e-6098-41c8-b81f-a12462e3feae"]}],"mendeley":{"formattedCitation":"(Islamey, 2021)","plainTextFormattedCitation":"(Islamey, 2021)","previouslyFormattedCitation":"(Islamey, 2021)"},"properties":{"noteIndex":0},"schema":"https://github.com/citation-style-language/schema/raw/master/csl-citation.json"}</w:instrText>
      </w:r>
      <w:r w:rsidRPr="004B27B7">
        <w:rPr>
          <w:rFonts w:ascii="Times New Roman" w:hAnsi="Times New Roman" w:cs="Times New Roman"/>
          <w:sz w:val="24"/>
          <w:szCs w:val="24"/>
        </w:rPr>
        <w:fldChar w:fldCharType="separate"/>
      </w:r>
      <w:r w:rsidRPr="004B27B7">
        <w:rPr>
          <w:rFonts w:ascii="Times New Roman" w:hAnsi="Times New Roman" w:cs="Times New Roman"/>
          <w:noProof/>
          <w:sz w:val="24"/>
          <w:szCs w:val="24"/>
        </w:rPr>
        <w:t>(Islamey, 2021)</w:t>
      </w:r>
      <w:r w:rsidRPr="004B27B7">
        <w:rPr>
          <w:rFonts w:ascii="Times New Roman" w:hAnsi="Times New Roman" w:cs="Times New Roman"/>
          <w:sz w:val="24"/>
          <w:szCs w:val="24"/>
        </w:rPr>
        <w:fldChar w:fldCharType="end"/>
      </w:r>
      <w:r w:rsidRPr="004B27B7">
        <w:rPr>
          <w:rFonts w:ascii="Times New Roman" w:hAnsi="Times New Roman" w:cs="Times New Roman"/>
          <w:sz w:val="24"/>
          <w:szCs w:val="24"/>
        </w:rPr>
        <w:t xml:space="preserve">. Menurut Arfan Ikhsan (2008:13), </w:t>
      </w:r>
      <w:r w:rsidRPr="004B27B7">
        <w:rPr>
          <w:rFonts w:ascii="Times New Roman" w:hAnsi="Times New Roman" w:cs="Times New Roman"/>
          <w:i/>
          <w:iCs/>
          <w:sz w:val="24"/>
          <w:szCs w:val="24"/>
        </w:rPr>
        <w:t>green accounting</w:t>
      </w:r>
      <w:r w:rsidRPr="004B27B7">
        <w:rPr>
          <w:rFonts w:ascii="Times New Roman" w:hAnsi="Times New Roman" w:cs="Times New Roman"/>
          <w:sz w:val="24"/>
          <w:szCs w:val="24"/>
        </w:rPr>
        <w:t xml:space="preserve"> me</w:t>
      </w:r>
      <w:r w:rsidR="00325E30">
        <w:rPr>
          <w:rFonts w:ascii="Times New Roman" w:hAnsi="Times New Roman" w:cs="Times New Roman"/>
          <w:sz w:val="24"/>
          <w:szCs w:val="24"/>
        </w:rPr>
        <w:t>ngacu</w:t>
      </w:r>
      <w:r w:rsidRPr="004B27B7">
        <w:rPr>
          <w:rFonts w:ascii="Times New Roman" w:hAnsi="Times New Roman" w:cs="Times New Roman"/>
          <w:sz w:val="24"/>
          <w:szCs w:val="24"/>
        </w:rPr>
        <w:t xml:space="preserve"> pada </w:t>
      </w:r>
      <w:r w:rsidR="00325E30">
        <w:rPr>
          <w:rFonts w:ascii="Times New Roman" w:hAnsi="Times New Roman" w:cs="Times New Roman"/>
          <w:sz w:val="24"/>
          <w:szCs w:val="24"/>
        </w:rPr>
        <w:t>penggabungan</w:t>
      </w:r>
      <w:r w:rsidRPr="004B27B7">
        <w:rPr>
          <w:rFonts w:ascii="Times New Roman" w:hAnsi="Times New Roman" w:cs="Times New Roman"/>
          <w:sz w:val="24"/>
          <w:szCs w:val="24"/>
        </w:rPr>
        <w:t xml:space="preserve"> biaya lingkungan dalam praktik akuntansi perusahaan</w:t>
      </w:r>
      <w:r w:rsidR="000846BD">
        <w:rPr>
          <w:rFonts w:ascii="Times New Roman" w:hAnsi="Times New Roman" w:cs="Times New Roman"/>
          <w:sz w:val="24"/>
          <w:szCs w:val="24"/>
        </w:rPr>
        <w:t xml:space="preserve"> </w:t>
      </w:r>
      <w:r w:rsidRPr="004B27B7">
        <w:rPr>
          <w:rFonts w:ascii="Times New Roman" w:hAnsi="Times New Roman" w:cs="Times New Roman"/>
          <w:sz w:val="24"/>
          <w:szCs w:val="24"/>
        </w:rPr>
        <w:fldChar w:fldCharType="begin" w:fldLock="1"/>
      </w:r>
      <w:r w:rsidR="00177DFC">
        <w:rPr>
          <w:rFonts w:ascii="Times New Roman" w:hAnsi="Times New Roman" w:cs="Times New Roman"/>
          <w:sz w:val="24"/>
          <w:szCs w:val="24"/>
        </w:rPr>
        <w:instrText>ADDIN CSL_CITATION {"citationItems":[{"id":"ITEM-1","itemData":{"DOI":"10.56910/gemawisata.v21i1.428","ISSN":"1411-5077","abstract":"The profitability of a company, as reflected by ratios such as Return on Assets (ROA), measures its ability to generate profit from operational activities. In the consumer non-cyclical sector, while some companies have experienced a decline in profits, financial performance tends to remain stable. This study employs purposive sampling to obtain 106 observations and panel data regression analysis to explore the impact of green accounting, environmental performance, and CSR on profitability, given the varying results from previous studies. The research findings indicate that: 1) Green accounting has a positive effect on corporate social responsibility. 2) Environmental performance does not affect corporate social responsibility. 3) Green accounting does not impact company profitability. 4) Environmental performance does not impact company profitability. 5) Corporate social responsibility affects company profitability. 6) Corporate social responsibility mediates the relationship between green accounting and company profitability. 7) Corporate social responsibility does not mediate the relationship between environmental performance and company profitability.\r  \r  ","author":[{"dropping-particle":"","family":"I Wayan Renold Tino","given":"","non-dropping-particle":"","parse-names":false,"suffix":""},{"dropping-particle":"","family":"I Putu Sudana","given":"","non-dropping-particle":"","parse-names":false,"suffix":""}],"container-title":"Gemawisata: Jurnal Ilmiah Pariwisata","id":"ITEM-1","issue":"1","issued":{"date-parts":[["2024"]]},"page":"17-32","title":"Peran Corporate Social Responsibility Memediasi Pengaruh Penerapan Green Accounting dan Kinerja Lingkungan Terhadap Profitabilitas Perusahaan yang Terdaftar di Bei","type":"article-journal","volume":"21"},"uris":["http://www.mendeley.com/documents/?uuid=ff6e2089-0c66-45af-8572-b35bba34abba"]}],"mendeley":{"formattedCitation":"(I Wayan Renold Tino &amp; I Putu Sudana, 2024)","manualFormatting":"(I Wayan Renold Tino et al, 2024)","plainTextFormattedCitation":"(I Wayan Renold Tino &amp; I Putu Sudana, 2024)","previouslyFormattedCitation":"(I Wayan Renold Tino &amp; I Putu Sudana, 2024)"},"properties":{"noteIndex":0},"schema":"https://github.com/citation-style-language/schema/raw/master/csl-citation.json"}</w:instrText>
      </w:r>
      <w:r w:rsidRPr="004B27B7">
        <w:rPr>
          <w:rFonts w:ascii="Times New Roman" w:hAnsi="Times New Roman" w:cs="Times New Roman"/>
          <w:sz w:val="24"/>
          <w:szCs w:val="24"/>
        </w:rPr>
        <w:fldChar w:fldCharType="separate"/>
      </w:r>
      <w:r w:rsidRPr="004B27B7">
        <w:rPr>
          <w:rFonts w:ascii="Times New Roman" w:hAnsi="Times New Roman" w:cs="Times New Roman"/>
          <w:noProof/>
          <w:sz w:val="24"/>
          <w:szCs w:val="24"/>
        </w:rPr>
        <w:t xml:space="preserve">(I Wayan Renold Tino </w:t>
      </w:r>
      <w:r w:rsidR="000846BD">
        <w:rPr>
          <w:rFonts w:ascii="Times New Roman" w:hAnsi="Times New Roman" w:cs="Times New Roman"/>
          <w:noProof/>
          <w:sz w:val="24"/>
          <w:szCs w:val="24"/>
        </w:rPr>
        <w:t>et al</w:t>
      </w:r>
      <w:r w:rsidRPr="004B27B7">
        <w:rPr>
          <w:rFonts w:ascii="Times New Roman" w:hAnsi="Times New Roman" w:cs="Times New Roman"/>
          <w:noProof/>
          <w:sz w:val="24"/>
          <w:szCs w:val="24"/>
        </w:rPr>
        <w:t>, 2024)</w:t>
      </w:r>
      <w:r w:rsidRPr="004B27B7">
        <w:rPr>
          <w:rFonts w:ascii="Times New Roman" w:hAnsi="Times New Roman" w:cs="Times New Roman"/>
          <w:sz w:val="24"/>
          <w:szCs w:val="24"/>
        </w:rPr>
        <w:fldChar w:fldCharType="end"/>
      </w:r>
      <w:r w:rsidRPr="004B27B7">
        <w:rPr>
          <w:rFonts w:ascii="Times New Roman" w:hAnsi="Times New Roman" w:cs="Times New Roman"/>
          <w:sz w:val="24"/>
          <w:szCs w:val="24"/>
        </w:rPr>
        <w:t xml:space="preserve">. Biaya lingkungan </w:t>
      </w:r>
      <w:r w:rsidR="00E86782" w:rsidRPr="00E86782">
        <w:rPr>
          <w:rFonts w:ascii="Times New Roman" w:hAnsi="Times New Roman" w:cs="Times New Roman"/>
          <w:sz w:val="24"/>
          <w:szCs w:val="24"/>
        </w:rPr>
        <w:t>merupakan konsekuensi dari aktivitas perusahaan yang berdampak pada kualitas lingkungan, dengan kata lain biaya ini timbul akibat menurunnya kualitas lingkungan sebagai dampak dari proses produksi serta kegiatan perusahaan. Biaya lingkungan berasal dari semua biaya yang paling terlihat, seperti sampah dan limbah</w:t>
      </w:r>
      <w:r w:rsidR="000846BD">
        <w:rPr>
          <w:rFonts w:ascii="Times New Roman" w:hAnsi="Times New Roman" w:cs="Times New Roman"/>
          <w:sz w:val="24"/>
          <w:szCs w:val="24"/>
        </w:rPr>
        <w:t xml:space="preserve"> </w:t>
      </w:r>
      <w:r w:rsidRPr="004B27B7">
        <w:rPr>
          <w:rFonts w:ascii="Times New Roman" w:hAnsi="Times New Roman" w:cs="Times New Roman"/>
          <w:sz w:val="24"/>
          <w:szCs w:val="24"/>
        </w:rPr>
        <w:fldChar w:fldCharType="begin" w:fldLock="1"/>
      </w:r>
      <w:r w:rsidR="00177DFC">
        <w:rPr>
          <w:rFonts w:ascii="Times New Roman" w:hAnsi="Times New Roman" w:cs="Times New Roman"/>
          <w:sz w:val="24"/>
          <w:szCs w:val="24"/>
        </w:rPr>
        <w:instrText>ADDIN CSL_CITATION {"citationItems":[{"id":"ITEM-1","itemData":{"author":[{"dropping-particle":"","family":"Fadhillah","given":"Fillah Ardhi","non-dropping-particle":"","parse-names":false,"suffix":""},{"dropping-particle":"","family":"Pandin","given":"Maria Yovita R","non-dropping-particle":"","parse-names":false,"suffix":""}],"id":"ITEM-1","issue":"3","issued":{"date-parts":[["2024"]]},"title":"Pengaruh Penerapan Biaya Lingkungan Terhadap ROA , ROE , Dan NPM","type":"article-journal","volume":"2"},"uris":["http://www.mendeley.com/documents/?uuid=b7e7ef89-bfca-4daa-8b36-631e316a9dac"]}],"mendeley":{"formattedCitation":"(Fadhillah &amp; Pandin, 2024)","manualFormatting":"(Fadhillah et al, 2024)","plainTextFormattedCitation":"(Fadhillah &amp; Pandin, 2024)","previouslyFormattedCitation":"(Fadhillah &amp; Pandin, 2024)"},"properties":{"noteIndex":0},"schema":"https://github.com/citation-style-language/schema/raw/master/csl-citation.json"}</w:instrText>
      </w:r>
      <w:r w:rsidRPr="004B27B7">
        <w:rPr>
          <w:rFonts w:ascii="Times New Roman" w:hAnsi="Times New Roman" w:cs="Times New Roman"/>
          <w:sz w:val="24"/>
          <w:szCs w:val="24"/>
        </w:rPr>
        <w:fldChar w:fldCharType="separate"/>
      </w:r>
      <w:r w:rsidRPr="004B27B7">
        <w:rPr>
          <w:rFonts w:ascii="Times New Roman" w:hAnsi="Times New Roman" w:cs="Times New Roman"/>
          <w:noProof/>
          <w:sz w:val="24"/>
          <w:szCs w:val="24"/>
        </w:rPr>
        <w:t xml:space="preserve">(Fadhillah </w:t>
      </w:r>
      <w:r w:rsidR="000846BD">
        <w:rPr>
          <w:rFonts w:ascii="Times New Roman" w:hAnsi="Times New Roman" w:cs="Times New Roman"/>
          <w:noProof/>
          <w:sz w:val="24"/>
          <w:szCs w:val="24"/>
        </w:rPr>
        <w:t>et al</w:t>
      </w:r>
      <w:r w:rsidRPr="004B27B7">
        <w:rPr>
          <w:rFonts w:ascii="Times New Roman" w:hAnsi="Times New Roman" w:cs="Times New Roman"/>
          <w:noProof/>
          <w:sz w:val="24"/>
          <w:szCs w:val="24"/>
        </w:rPr>
        <w:t>, 2024)</w:t>
      </w:r>
      <w:r w:rsidRPr="004B27B7">
        <w:rPr>
          <w:rFonts w:ascii="Times New Roman" w:hAnsi="Times New Roman" w:cs="Times New Roman"/>
          <w:sz w:val="24"/>
          <w:szCs w:val="24"/>
        </w:rPr>
        <w:fldChar w:fldCharType="end"/>
      </w:r>
      <w:r w:rsidRPr="004B27B7">
        <w:rPr>
          <w:rFonts w:ascii="Times New Roman" w:hAnsi="Times New Roman" w:cs="Times New Roman"/>
          <w:sz w:val="24"/>
          <w:szCs w:val="24"/>
        </w:rPr>
        <w:t xml:space="preserve">. </w:t>
      </w:r>
      <w:r w:rsidR="00E86782">
        <w:rPr>
          <w:rFonts w:ascii="Times New Roman" w:hAnsi="Times New Roman" w:cs="Times New Roman"/>
          <w:sz w:val="24"/>
          <w:szCs w:val="24"/>
        </w:rPr>
        <w:t>Profitabilitas adalah representasi mengenai kemampuan suatu perusahaan dalam menghasilkan laba dari aset yang dimilikinya. Profitabilitas yang tinggi menunjukkan bahwa perusahaan mampu memperoleh keuntungan yang besar, yang tentunya akan menjadi daya tarik khusus bagi seorang investor yang ingin menanamkan dananya pada perusahaan tersebut</w:t>
      </w:r>
      <w:r w:rsidR="000846BD">
        <w:rPr>
          <w:rFonts w:ascii="Times New Roman" w:hAnsi="Times New Roman" w:cs="Times New Roman"/>
          <w:sz w:val="24"/>
          <w:szCs w:val="24"/>
        </w:rPr>
        <w:t xml:space="preserve"> </w:t>
      </w:r>
      <w:r w:rsidRPr="004B27B7">
        <w:rPr>
          <w:rFonts w:ascii="Times New Roman" w:hAnsi="Times New Roman" w:cs="Times New Roman"/>
          <w:sz w:val="24"/>
          <w:szCs w:val="24"/>
        </w:rPr>
        <w:fldChar w:fldCharType="begin" w:fldLock="1"/>
      </w:r>
      <w:r w:rsidRPr="004B27B7">
        <w:rPr>
          <w:rFonts w:ascii="Times New Roman" w:hAnsi="Times New Roman" w:cs="Times New Roman"/>
          <w:sz w:val="24"/>
          <w:szCs w:val="24"/>
        </w:rPr>
        <w:instrText>ADDIN CSL_CITATION {"citationItems":[{"id":"ITEM-1","itemData":{"ISBN":"9780853283157","abstract":"Predicting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approach.","author":[{"dropping-particle":"","family":"Lusi Elviani Rangkuti","given":"","non-dropping-particle":"","parse-names":false,"suffix":""},{"dropping-particle":"","family":"Heny Triastuti Kurnianingsih","given":"","non-dropping-particle":"","parse-names":false,"suffix":""},{"dropping-particle":"","family":"Lusi Elviani Rangkuti","given":"","non-dropping-particle":"","parse-names":false,"suffix":""}],"container-title":"Angewandte Chemie International Edition, 6(11), 951–952.","id":"ITEM-1","issue":"October","issued":{"date-parts":[["2025"]]},"page":"68-86","title":"PENGARUH PENERAPAN GREEN ACCOUNTING DAN ENVIRONMENTAL COST TERHADAP PROFITABILITAS PADA PERUSAHAAN PERTAMBANGAN YANG TERDAFTAR DI BURSA EFEK INDONESIA","type":"article-journal","volume":"44"},"uris":["http://www.mendeley.com/documents/?uuid=7d570f24-2495-4716-8f25-033951c29c1b"]}],"mendeley":{"formattedCitation":"(Lusi Elviani Rangkuti et al., 2025)","plainTextFormattedCitation":"(Lusi Elviani Rangkuti et al., 2025)","previouslyFormattedCitation":"(Lusi Elviani Rangkuti et al., 2025)"},"properties":{"noteIndex":0},"schema":"https://github.com/citation-style-language/schema/raw/master/csl-citation.json"}</w:instrText>
      </w:r>
      <w:r w:rsidRPr="004B27B7">
        <w:rPr>
          <w:rFonts w:ascii="Times New Roman" w:hAnsi="Times New Roman" w:cs="Times New Roman"/>
          <w:sz w:val="24"/>
          <w:szCs w:val="24"/>
        </w:rPr>
        <w:fldChar w:fldCharType="separate"/>
      </w:r>
      <w:r w:rsidRPr="004B27B7">
        <w:rPr>
          <w:rFonts w:ascii="Times New Roman" w:hAnsi="Times New Roman" w:cs="Times New Roman"/>
          <w:noProof/>
          <w:sz w:val="24"/>
          <w:szCs w:val="24"/>
        </w:rPr>
        <w:t>(Lusi Elviani Rangkuti et al., 2025)</w:t>
      </w:r>
      <w:r w:rsidRPr="004B27B7">
        <w:rPr>
          <w:rFonts w:ascii="Times New Roman" w:hAnsi="Times New Roman" w:cs="Times New Roman"/>
          <w:sz w:val="24"/>
          <w:szCs w:val="24"/>
        </w:rPr>
        <w:fldChar w:fldCharType="end"/>
      </w:r>
      <w:r w:rsidRPr="004B27B7">
        <w:rPr>
          <w:rFonts w:ascii="Times New Roman" w:hAnsi="Times New Roman" w:cs="Times New Roman"/>
          <w:sz w:val="24"/>
          <w:szCs w:val="24"/>
        </w:rPr>
        <w:t>.</w:t>
      </w:r>
    </w:p>
    <w:p w14:paraId="7E35E264" w14:textId="7BCF07A1" w:rsidR="00781445" w:rsidRDefault="00000000" w:rsidP="003909BF">
      <w:pPr>
        <w:spacing w:line="360" w:lineRule="auto"/>
        <w:ind w:firstLine="720"/>
        <w:jc w:val="both"/>
        <w:rPr>
          <w:rFonts w:ascii="Times New Roman" w:hAnsi="Times New Roman" w:cs="Times New Roman"/>
          <w:sz w:val="24"/>
          <w:szCs w:val="24"/>
        </w:rPr>
      </w:pPr>
      <w:r w:rsidRPr="004B27B7">
        <w:rPr>
          <w:rFonts w:ascii="Times New Roman" w:hAnsi="Times New Roman" w:cs="Times New Roman"/>
          <w:sz w:val="24"/>
          <w:szCs w:val="24"/>
        </w:rPr>
        <w:t xml:space="preserve">Beberapa penelitian sebelumnya terkait dengan variabel </w:t>
      </w:r>
      <w:r w:rsidRPr="004B27B7">
        <w:rPr>
          <w:rFonts w:ascii="Times New Roman" w:hAnsi="Times New Roman" w:cs="Times New Roman"/>
          <w:i/>
          <w:iCs/>
          <w:sz w:val="24"/>
          <w:szCs w:val="24"/>
        </w:rPr>
        <w:t>green acoounting</w:t>
      </w:r>
      <w:r w:rsidRPr="004B27B7">
        <w:rPr>
          <w:rFonts w:ascii="Times New Roman" w:hAnsi="Times New Roman" w:cs="Times New Roman"/>
          <w:sz w:val="24"/>
          <w:szCs w:val="24"/>
        </w:rPr>
        <w:t xml:space="preserve"> dengan </w:t>
      </w:r>
      <w:r w:rsidRPr="000846BD">
        <w:rPr>
          <w:rFonts w:ascii="Times New Roman" w:hAnsi="Times New Roman" w:cs="Times New Roman"/>
          <w:sz w:val="24"/>
          <w:szCs w:val="24"/>
        </w:rPr>
        <w:t>profitabilitas</w:t>
      </w:r>
      <w:r w:rsidRPr="004B27B7">
        <w:rPr>
          <w:rFonts w:ascii="Times New Roman" w:hAnsi="Times New Roman" w:cs="Times New Roman"/>
          <w:sz w:val="24"/>
          <w:szCs w:val="24"/>
        </w:rPr>
        <w:t xml:space="preserve"> antara lain: Penelitian dari Ziral Raditya Aziz</w:t>
      </w:r>
      <w:r w:rsidR="000846BD">
        <w:rPr>
          <w:rFonts w:ascii="Times New Roman" w:hAnsi="Times New Roman" w:cs="Times New Roman"/>
          <w:sz w:val="24"/>
          <w:szCs w:val="24"/>
        </w:rPr>
        <w:t xml:space="preserve"> et al</w:t>
      </w:r>
      <w:r w:rsidRPr="004B27B7">
        <w:rPr>
          <w:rFonts w:ascii="Times New Roman" w:hAnsi="Times New Roman" w:cs="Times New Roman"/>
          <w:sz w:val="24"/>
          <w:szCs w:val="24"/>
        </w:rPr>
        <w:t xml:space="preserve">, </w:t>
      </w:r>
      <w:r w:rsidR="00177DFC">
        <w:rPr>
          <w:rFonts w:ascii="Times New Roman" w:hAnsi="Times New Roman" w:cs="Times New Roman"/>
          <w:sz w:val="24"/>
          <w:szCs w:val="24"/>
        </w:rPr>
        <w:t>(</w:t>
      </w:r>
      <w:r w:rsidRPr="004B27B7">
        <w:rPr>
          <w:rFonts w:ascii="Times New Roman" w:hAnsi="Times New Roman" w:cs="Times New Roman"/>
          <w:sz w:val="24"/>
          <w:szCs w:val="24"/>
        </w:rPr>
        <w:t xml:space="preserve">2024) dengan judul ”Pengaruh </w:t>
      </w:r>
      <w:r w:rsidRPr="004B27B7">
        <w:rPr>
          <w:rFonts w:ascii="Times New Roman" w:hAnsi="Times New Roman" w:cs="Times New Roman"/>
          <w:i/>
          <w:iCs/>
          <w:sz w:val="24"/>
          <w:szCs w:val="24"/>
        </w:rPr>
        <w:t>green accounting</w:t>
      </w:r>
      <w:r w:rsidRPr="004B27B7">
        <w:rPr>
          <w:rFonts w:ascii="Times New Roman" w:hAnsi="Times New Roman" w:cs="Times New Roman"/>
          <w:sz w:val="24"/>
          <w:szCs w:val="24"/>
        </w:rPr>
        <w:t xml:space="preserve"> dan </w:t>
      </w:r>
      <w:r w:rsidRPr="004B27B7">
        <w:rPr>
          <w:rFonts w:ascii="Times New Roman" w:hAnsi="Times New Roman" w:cs="Times New Roman"/>
          <w:i/>
          <w:iCs/>
          <w:sz w:val="24"/>
          <w:szCs w:val="24"/>
        </w:rPr>
        <w:t>corporate social responbility</w:t>
      </w:r>
      <w:r w:rsidRPr="004B27B7">
        <w:rPr>
          <w:rFonts w:ascii="Times New Roman" w:hAnsi="Times New Roman" w:cs="Times New Roman"/>
          <w:sz w:val="24"/>
          <w:szCs w:val="24"/>
        </w:rPr>
        <w:t xml:space="preserve"> terhadap </w:t>
      </w:r>
      <w:r w:rsidRPr="000846BD">
        <w:rPr>
          <w:rFonts w:ascii="Times New Roman" w:hAnsi="Times New Roman" w:cs="Times New Roman"/>
          <w:sz w:val="24"/>
          <w:szCs w:val="24"/>
        </w:rPr>
        <w:t>profitabilitas</w:t>
      </w:r>
      <w:r w:rsidRPr="004B27B7">
        <w:rPr>
          <w:rFonts w:ascii="Times New Roman" w:hAnsi="Times New Roman" w:cs="Times New Roman"/>
          <w:sz w:val="24"/>
          <w:szCs w:val="24"/>
        </w:rPr>
        <w:t xml:space="preserve">” Hasilnya adalah variabel </w:t>
      </w:r>
      <w:r w:rsidRPr="004B27B7">
        <w:rPr>
          <w:rFonts w:ascii="Times New Roman" w:hAnsi="Times New Roman" w:cs="Times New Roman"/>
          <w:i/>
          <w:iCs/>
          <w:sz w:val="24"/>
          <w:szCs w:val="24"/>
        </w:rPr>
        <w:t>green accounting</w:t>
      </w:r>
      <w:r w:rsidRPr="004B27B7">
        <w:rPr>
          <w:rFonts w:ascii="Times New Roman" w:hAnsi="Times New Roman" w:cs="Times New Roman"/>
          <w:sz w:val="24"/>
          <w:szCs w:val="24"/>
        </w:rPr>
        <w:t xml:space="preserve"> berpengaruh terhadap </w:t>
      </w:r>
      <w:r w:rsidRPr="000846BD">
        <w:rPr>
          <w:rFonts w:ascii="Times New Roman" w:hAnsi="Times New Roman" w:cs="Times New Roman"/>
          <w:sz w:val="24"/>
          <w:szCs w:val="24"/>
        </w:rPr>
        <w:t>profitabilitas</w:t>
      </w:r>
      <w:r w:rsidRPr="004B27B7">
        <w:rPr>
          <w:rFonts w:ascii="Times New Roman" w:hAnsi="Times New Roman" w:cs="Times New Roman"/>
          <w:i/>
          <w:iCs/>
          <w:sz w:val="24"/>
          <w:szCs w:val="24"/>
        </w:rPr>
        <w:t xml:space="preserve"> </w:t>
      </w:r>
      <w:r w:rsidRPr="004B27B7">
        <w:rPr>
          <w:rFonts w:ascii="Times New Roman" w:hAnsi="Times New Roman" w:cs="Times New Roman"/>
          <w:sz w:val="24"/>
          <w:szCs w:val="24"/>
        </w:rPr>
        <w:t>pada perusahaan energi sub sektor pertambangan yang terdaftar di BEI tahun 2019-2021; Penelitian dari Ramly</w:t>
      </w:r>
      <w:r w:rsidR="000846BD">
        <w:rPr>
          <w:rFonts w:ascii="Times New Roman" w:hAnsi="Times New Roman" w:cs="Times New Roman"/>
          <w:sz w:val="24"/>
          <w:szCs w:val="24"/>
        </w:rPr>
        <w:t xml:space="preserve"> et al</w:t>
      </w:r>
      <w:r w:rsidRPr="004B27B7">
        <w:rPr>
          <w:rFonts w:ascii="Times New Roman" w:hAnsi="Times New Roman" w:cs="Times New Roman"/>
          <w:sz w:val="24"/>
          <w:szCs w:val="24"/>
        </w:rPr>
        <w:t xml:space="preserve">, </w:t>
      </w:r>
      <w:r w:rsidR="00177DFC">
        <w:rPr>
          <w:rFonts w:ascii="Times New Roman" w:hAnsi="Times New Roman" w:cs="Times New Roman"/>
          <w:sz w:val="24"/>
          <w:szCs w:val="24"/>
        </w:rPr>
        <w:t>(</w:t>
      </w:r>
      <w:r w:rsidRPr="004B27B7">
        <w:rPr>
          <w:rFonts w:ascii="Times New Roman" w:hAnsi="Times New Roman" w:cs="Times New Roman"/>
          <w:sz w:val="24"/>
          <w:szCs w:val="24"/>
        </w:rPr>
        <w:t xml:space="preserve">2024) dengan judul “Pengaruh </w:t>
      </w:r>
      <w:r w:rsidRPr="004B27B7">
        <w:rPr>
          <w:rFonts w:ascii="Times New Roman" w:hAnsi="Times New Roman" w:cs="Times New Roman"/>
          <w:i/>
          <w:iCs/>
          <w:sz w:val="24"/>
          <w:szCs w:val="24"/>
        </w:rPr>
        <w:t>green accounting</w:t>
      </w:r>
      <w:r w:rsidRPr="004B27B7">
        <w:rPr>
          <w:rFonts w:ascii="Times New Roman" w:hAnsi="Times New Roman" w:cs="Times New Roman"/>
          <w:sz w:val="24"/>
          <w:szCs w:val="24"/>
        </w:rPr>
        <w:t xml:space="preserve">, </w:t>
      </w:r>
      <w:r w:rsidRPr="004B27B7">
        <w:rPr>
          <w:rFonts w:ascii="Times New Roman" w:hAnsi="Times New Roman" w:cs="Times New Roman"/>
          <w:i/>
          <w:iCs/>
          <w:sz w:val="24"/>
          <w:szCs w:val="24"/>
        </w:rPr>
        <w:t>corporate social responbility</w:t>
      </w:r>
      <w:r w:rsidRPr="004B27B7">
        <w:rPr>
          <w:rFonts w:ascii="Times New Roman" w:hAnsi="Times New Roman" w:cs="Times New Roman"/>
          <w:sz w:val="24"/>
          <w:szCs w:val="24"/>
        </w:rPr>
        <w:t xml:space="preserve"> dan </w:t>
      </w:r>
      <w:r w:rsidRPr="004B27B7">
        <w:rPr>
          <w:rFonts w:ascii="Times New Roman" w:hAnsi="Times New Roman" w:cs="Times New Roman"/>
          <w:i/>
          <w:iCs/>
          <w:sz w:val="24"/>
          <w:szCs w:val="24"/>
        </w:rPr>
        <w:t>media exposure</w:t>
      </w:r>
      <w:r w:rsidRPr="004B27B7">
        <w:rPr>
          <w:rFonts w:ascii="Times New Roman" w:hAnsi="Times New Roman" w:cs="Times New Roman"/>
          <w:sz w:val="24"/>
          <w:szCs w:val="24"/>
        </w:rPr>
        <w:t xml:space="preserve"> terhadap </w:t>
      </w:r>
      <w:r w:rsidRPr="000846BD">
        <w:rPr>
          <w:rFonts w:ascii="Times New Roman" w:hAnsi="Times New Roman" w:cs="Times New Roman"/>
          <w:sz w:val="24"/>
          <w:szCs w:val="24"/>
        </w:rPr>
        <w:t>profitabilitas</w:t>
      </w:r>
      <w:r w:rsidRPr="004B27B7">
        <w:rPr>
          <w:rFonts w:ascii="Times New Roman" w:hAnsi="Times New Roman" w:cs="Times New Roman"/>
          <w:sz w:val="24"/>
          <w:szCs w:val="24"/>
        </w:rPr>
        <w:t xml:space="preserve"> studi kasus pada perusahaan pertambangan dan energi” Hasilnya adalah variabel </w:t>
      </w:r>
      <w:r w:rsidRPr="004B27B7">
        <w:rPr>
          <w:rFonts w:ascii="Times New Roman" w:hAnsi="Times New Roman" w:cs="Times New Roman"/>
          <w:i/>
          <w:iCs/>
          <w:sz w:val="24"/>
          <w:szCs w:val="24"/>
        </w:rPr>
        <w:t>green accounting</w:t>
      </w:r>
      <w:r w:rsidRPr="004B27B7">
        <w:rPr>
          <w:rFonts w:ascii="Times New Roman" w:hAnsi="Times New Roman" w:cs="Times New Roman"/>
          <w:sz w:val="24"/>
          <w:szCs w:val="24"/>
        </w:rPr>
        <w:t xml:space="preserve"> tidak berpengaruh </w:t>
      </w:r>
      <w:r w:rsidRPr="004B27B7">
        <w:rPr>
          <w:rFonts w:ascii="Times New Roman" w:hAnsi="Times New Roman" w:cs="Times New Roman"/>
          <w:sz w:val="24"/>
          <w:szCs w:val="24"/>
        </w:rPr>
        <w:lastRenderedPageBreak/>
        <w:t>terhadap</w:t>
      </w:r>
      <w:r w:rsidRPr="004B27B7">
        <w:rPr>
          <w:rFonts w:ascii="Times New Roman" w:hAnsi="Times New Roman" w:cs="Times New Roman"/>
          <w:i/>
          <w:iCs/>
          <w:sz w:val="24"/>
          <w:szCs w:val="24"/>
        </w:rPr>
        <w:t xml:space="preserve"> </w:t>
      </w:r>
      <w:r w:rsidRPr="000846BD">
        <w:rPr>
          <w:rFonts w:ascii="Times New Roman" w:hAnsi="Times New Roman" w:cs="Times New Roman"/>
          <w:sz w:val="24"/>
          <w:szCs w:val="24"/>
        </w:rPr>
        <w:t>profitabilitas</w:t>
      </w:r>
      <w:r w:rsidRPr="004B27B7">
        <w:rPr>
          <w:rFonts w:ascii="Times New Roman" w:hAnsi="Times New Roman" w:cs="Times New Roman"/>
          <w:sz w:val="24"/>
          <w:szCs w:val="24"/>
        </w:rPr>
        <w:t xml:space="preserve"> pada perusahaan pertambangan dan energi yang terdaftar di BEI tahun 2020-2022; Penelitian dari Nailil Fitrifatun</w:t>
      </w:r>
      <w:r w:rsidR="000846BD">
        <w:rPr>
          <w:rFonts w:ascii="Times New Roman" w:hAnsi="Times New Roman" w:cs="Times New Roman"/>
          <w:sz w:val="24"/>
          <w:szCs w:val="24"/>
        </w:rPr>
        <w:t xml:space="preserve"> et al</w:t>
      </w:r>
      <w:r w:rsidRPr="004B27B7">
        <w:rPr>
          <w:rFonts w:ascii="Times New Roman" w:hAnsi="Times New Roman" w:cs="Times New Roman"/>
          <w:sz w:val="24"/>
          <w:szCs w:val="24"/>
        </w:rPr>
        <w:t xml:space="preserve">, </w:t>
      </w:r>
      <w:r w:rsidR="00177DFC">
        <w:rPr>
          <w:rFonts w:ascii="Times New Roman" w:hAnsi="Times New Roman" w:cs="Times New Roman"/>
          <w:sz w:val="24"/>
          <w:szCs w:val="24"/>
        </w:rPr>
        <w:t>(</w:t>
      </w:r>
      <w:r w:rsidRPr="004B27B7">
        <w:rPr>
          <w:rFonts w:ascii="Times New Roman" w:hAnsi="Times New Roman" w:cs="Times New Roman"/>
          <w:sz w:val="24"/>
          <w:szCs w:val="24"/>
        </w:rPr>
        <w:t xml:space="preserve">2024) dengan judul “Pengaruh </w:t>
      </w:r>
      <w:r w:rsidRPr="004B27B7">
        <w:rPr>
          <w:rFonts w:ascii="Times New Roman" w:hAnsi="Times New Roman" w:cs="Times New Roman"/>
          <w:i/>
          <w:iCs/>
          <w:sz w:val="24"/>
          <w:szCs w:val="24"/>
        </w:rPr>
        <w:t>green accounting,</w:t>
      </w:r>
      <w:r w:rsidRPr="004B27B7">
        <w:rPr>
          <w:rFonts w:ascii="Times New Roman" w:hAnsi="Times New Roman" w:cs="Times New Roman"/>
          <w:sz w:val="24"/>
          <w:szCs w:val="24"/>
        </w:rPr>
        <w:t xml:space="preserve"> kinerja lingkungan, ukuran perusahaan dan likuiditas terhadap </w:t>
      </w:r>
      <w:r w:rsidRPr="000846BD">
        <w:rPr>
          <w:rFonts w:ascii="Times New Roman" w:hAnsi="Times New Roman" w:cs="Times New Roman"/>
          <w:sz w:val="24"/>
          <w:szCs w:val="24"/>
        </w:rPr>
        <w:t>profitabilitas</w:t>
      </w:r>
      <w:r w:rsidRPr="004B27B7">
        <w:rPr>
          <w:rFonts w:ascii="Times New Roman" w:hAnsi="Times New Roman" w:cs="Times New Roman"/>
          <w:sz w:val="24"/>
          <w:szCs w:val="24"/>
        </w:rPr>
        <w:t xml:space="preserve"> studi empiris pada perusahan pertambangan yang terdaftar di BEI periode 2018-2022” Hasilnya adalah variabel </w:t>
      </w:r>
      <w:r w:rsidRPr="004B27B7">
        <w:rPr>
          <w:rFonts w:ascii="Times New Roman" w:hAnsi="Times New Roman" w:cs="Times New Roman"/>
          <w:i/>
          <w:iCs/>
          <w:sz w:val="24"/>
          <w:szCs w:val="24"/>
        </w:rPr>
        <w:t>green accounting</w:t>
      </w:r>
      <w:r w:rsidRPr="004B27B7">
        <w:rPr>
          <w:rFonts w:ascii="Times New Roman" w:hAnsi="Times New Roman" w:cs="Times New Roman"/>
          <w:sz w:val="24"/>
          <w:szCs w:val="24"/>
        </w:rPr>
        <w:t xml:space="preserve"> secara parsial berpengaruh negatif signifikan terhadap</w:t>
      </w:r>
      <w:r w:rsidRPr="004B27B7">
        <w:rPr>
          <w:rFonts w:ascii="Times New Roman" w:hAnsi="Times New Roman" w:cs="Times New Roman"/>
          <w:i/>
          <w:iCs/>
          <w:sz w:val="24"/>
          <w:szCs w:val="24"/>
        </w:rPr>
        <w:t xml:space="preserve"> </w:t>
      </w:r>
      <w:r w:rsidRPr="000846BD">
        <w:rPr>
          <w:rFonts w:ascii="Times New Roman" w:hAnsi="Times New Roman" w:cs="Times New Roman"/>
          <w:sz w:val="24"/>
          <w:szCs w:val="24"/>
        </w:rPr>
        <w:t>profitabilitas</w:t>
      </w:r>
      <w:r w:rsidRPr="004B27B7">
        <w:rPr>
          <w:rFonts w:ascii="Times New Roman" w:hAnsi="Times New Roman" w:cs="Times New Roman"/>
          <w:sz w:val="24"/>
          <w:szCs w:val="24"/>
        </w:rPr>
        <w:t xml:space="preserve"> pada perusahaan pertambangan yang terdaftar di BEI periode 2018-2022; Penelitian dari Iqbal Ghifary Thoriq</w:t>
      </w:r>
      <w:r w:rsidR="000846BD">
        <w:rPr>
          <w:rFonts w:ascii="Times New Roman" w:hAnsi="Times New Roman" w:cs="Times New Roman"/>
          <w:sz w:val="24"/>
          <w:szCs w:val="24"/>
        </w:rPr>
        <w:t xml:space="preserve"> et al</w:t>
      </w:r>
      <w:r w:rsidRPr="004B27B7">
        <w:rPr>
          <w:rFonts w:ascii="Times New Roman" w:hAnsi="Times New Roman" w:cs="Times New Roman"/>
          <w:sz w:val="24"/>
          <w:szCs w:val="24"/>
        </w:rPr>
        <w:t xml:space="preserve">, </w:t>
      </w:r>
      <w:r w:rsidR="00177DFC">
        <w:rPr>
          <w:rFonts w:ascii="Times New Roman" w:hAnsi="Times New Roman" w:cs="Times New Roman"/>
          <w:sz w:val="24"/>
          <w:szCs w:val="24"/>
        </w:rPr>
        <w:t>(</w:t>
      </w:r>
      <w:r w:rsidRPr="004B27B7">
        <w:rPr>
          <w:rFonts w:ascii="Times New Roman" w:hAnsi="Times New Roman" w:cs="Times New Roman"/>
          <w:sz w:val="24"/>
          <w:szCs w:val="24"/>
        </w:rPr>
        <w:t xml:space="preserve">2024) dengan judul “Pengaruh </w:t>
      </w:r>
      <w:r w:rsidRPr="004B27B7">
        <w:rPr>
          <w:rFonts w:ascii="Times New Roman" w:hAnsi="Times New Roman" w:cs="Times New Roman"/>
          <w:i/>
          <w:iCs/>
          <w:sz w:val="24"/>
          <w:szCs w:val="24"/>
        </w:rPr>
        <w:t>green accounting,</w:t>
      </w:r>
      <w:r w:rsidRPr="004B27B7">
        <w:rPr>
          <w:rFonts w:ascii="Times New Roman" w:hAnsi="Times New Roman" w:cs="Times New Roman"/>
          <w:sz w:val="24"/>
          <w:szCs w:val="24"/>
        </w:rPr>
        <w:t xml:space="preserve"> total </w:t>
      </w:r>
      <w:r w:rsidRPr="004B27B7">
        <w:rPr>
          <w:rFonts w:ascii="Times New Roman" w:hAnsi="Times New Roman" w:cs="Times New Roman"/>
          <w:i/>
          <w:iCs/>
          <w:sz w:val="24"/>
          <w:szCs w:val="24"/>
        </w:rPr>
        <w:t>asset turnover,</w:t>
      </w:r>
      <w:r w:rsidRPr="004B27B7">
        <w:rPr>
          <w:rFonts w:ascii="Times New Roman" w:hAnsi="Times New Roman" w:cs="Times New Roman"/>
          <w:sz w:val="24"/>
          <w:szCs w:val="24"/>
        </w:rPr>
        <w:t xml:space="preserve"> </w:t>
      </w:r>
      <w:r w:rsidRPr="004B27B7">
        <w:rPr>
          <w:rFonts w:ascii="Times New Roman" w:hAnsi="Times New Roman" w:cs="Times New Roman"/>
          <w:i/>
          <w:iCs/>
          <w:sz w:val="24"/>
          <w:szCs w:val="24"/>
        </w:rPr>
        <w:t>debt equity ratio,</w:t>
      </w:r>
      <w:r w:rsidRPr="004B27B7">
        <w:rPr>
          <w:rFonts w:ascii="Times New Roman" w:hAnsi="Times New Roman" w:cs="Times New Roman"/>
          <w:sz w:val="24"/>
          <w:szCs w:val="24"/>
        </w:rPr>
        <w:t xml:space="preserve"> dan kepemilikan institusional terhadap </w:t>
      </w:r>
      <w:r w:rsidRPr="000846BD">
        <w:rPr>
          <w:rFonts w:ascii="Times New Roman" w:hAnsi="Times New Roman" w:cs="Times New Roman"/>
          <w:sz w:val="24"/>
          <w:szCs w:val="24"/>
        </w:rPr>
        <w:t xml:space="preserve">profitabilitas </w:t>
      </w:r>
      <w:r w:rsidRPr="004B27B7">
        <w:rPr>
          <w:rFonts w:ascii="Times New Roman" w:hAnsi="Times New Roman" w:cs="Times New Roman"/>
          <w:sz w:val="24"/>
          <w:szCs w:val="24"/>
        </w:rPr>
        <w:t xml:space="preserve">perusahaan” Hasilnya adalah variabel </w:t>
      </w:r>
      <w:r w:rsidRPr="004B27B7">
        <w:rPr>
          <w:rFonts w:ascii="Times New Roman" w:hAnsi="Times New Roman" w:cs="Times New Roman"/>
          <w:i/>
          <w:iCs/>
          <w:sz w:val="24"/>
          <w:szCs w:val="24"/>
        </w:rPr>
        <w:t xml:space="preserve">green accounting </w:t>
      </w:r>
      <w:r w:rsidRPr="004B27B7">
        <w:rPr>
          <w:rFonts w:ascii="Times New Roman" w:hAnsi="Times New Roman" w:cs="Times New Roman"/>
          <w:sz w:val="24"/>
          <w:szCs w:val="24"/>
        </w:rPr>
        <w:t xml:space="preserve">tidak berpengaruh terhadap </w:t>
      </w:r>
      <w:r w:rsidRPr="000846BD">
        <w:rPr>
          <w:rFonts w:ascii="Times New Roman" w:hAnsi="Times New Roman" w:cs="Times New Roman"/>
          <w:sz w:val="24"/>
          <w:szCs w:val="24"/>
        </w:rPr>
        <w:t>profitabilitas</w:t>
      </w:r>
      <w:r w:rsidRPr="004B27B7">
        <w:rPr>
          <w:rFonts w:ascii="Times New Roman" w:hAnsi="Times New Roman" w:cs="Times New Roman"/>
          <w:sz w:val="24"/>
          <w:szCs w:val="24"/>
        </w:rPr>
        <w:t xml:space="preserve"> pada perusahaan sektor pertambangan yang listing di BEI tahun 2018-2021; Penelitian dari Ince Reski Meiriani</w:t>
      </w:r>
      <w:r w:rsidR="000846BD">
        <w:rPr>
          <w:rFonts w:ascii="Times New Roman" w:hAnsi="Times New Roman" w:cs="Times New Roman"/>
          <w:sz w:val="24"/>
          <w:szCs w:val="24"/>
        </w:rPr>
        <w:t xml:space="preserve"> et al</w:t>
      </w:r>
      <w:r w:rsidRPr="004B27B7">
        <w:rPr>
          <w:rFonts w:ascii="Times New Roman" w:hAnsi="Times New Roman" w:cs="Times New Roman"/>
          <w:sz w:val="24"/>
          <w:szCs w:val="24"/>
        </w:rPr>
        <w:t xml:space="preserve">, </w:t>
      </w:r>
      <w:r w:rsidR="00177DFC">
        <w:rPr>
          <w:rFonts w:ascii="Times New Roman" w:hAnsi="Times New Roman" w:cs="Times New Roman"/>
          <w:sz w:val="24"/>
          <w:szCs w:val="24"/>
        </w:rPr>
        <w:t>(</w:t>
      </w:r>
      <w:r w:rsidRPr="004B27B7">
        <w:rPr>
          <w:rFonts w:ascii="Times New Roman" w:hAnsi="Times New Roman" w:cs="Times New Roman"/>
          <w:sz w:val="24"/>
          <w:szCs w:val="24"/>
        </w:rPr>
        <w:t xml:space="preserve">2024) dengan judul “Pengaruh penerapan </w:t>
      </w:r>
      <w:r w:rsidRPr="004B27B7">
        <w:rPr>
          <w:rFonts w:ascii="Times New Roman" w:hAnsi="Times New Roman" w:cs="Times New Roman"/>
          <w:i/>
          <w:iCs/>
          <w:sz w:val="24"/>
          <w:szCs w:val="24"/>
        </w:rPr>
        <w:t>green accounting</w:t>
      </w:r>
      <w:r w:rsidRPr="004B27B7">
        <w:rPr>
          <w:rFonts w:ascii="Times New Roman" w:hAnsi="Times New Roman" w:cs="Times New Roman"/>
          <w:sz w:val="24"/>
          <w:szCs w:val="24"/>
        </w:rPr>
        <w:t xml:space="preserve"> terhadap</w:t>
      </w:r>
      <w:r w:rsidRPr="004B27B7">
        <w:rPr>
          <w:rFonts w:ascii="Times New Roman" w:hAnsi="Times New Roman" w:cs="Times New Roman"/>
          <w:i/>
          <w:iCs/>
          <w:sz w:val="24"/>
          <w:szCs w:val="24"/>
        </w:rPr>
        <w:t xml:space="preserve"> </w:t>
      </w:r>
      <w:r w:rsidRPr="000846BD">
        <w:rPr>
          <w:rFonts w:ascii="Times New Roman" w:hAnsi="Times New Roman" w:cs="Times New Roman"/>
          <w:sz w:val="24"/>
          <w:szCs w:val="24"/>
        </w:rPr>
        <w:t>profitabilitas</w:t>
      </w:r>
      <w:r w:rsidRPr="004B27B7">
        <w:rPr>
          <w:rFonts w:ascii="Times New Roman" w:hAnsi="Times New Roman" w:cs="Times New Roman"/>
          <w:i/>
          <w:iCs/>
          <w:sz w:val="24"/>
          <w:szCs w:val="24"/>
        </w:rPr>
        <w:t xml:space="preserve"> </w:t>
      </w:r>
      <w:r w:rsidRPr="004B27B7">
        <w:rPr>
          <w:rFonts w:ascii="Times New Roman" w:hAnsi="Times New Roman" w:cs="Times New Roman"/>
          <w:sz w:val="24"/>
          <w:szCs w:val="24"/>
        </w:rPr>
        <w:t xml:space="preserve">pada perusahaan sektor pertambangan yang terdaftar di BEI” Hasilnya adalah variabel </w:t>
      </w:r>
      <w:r w:rsidRPr="004B27B7">
        <w:rPr>
          <w:rFonts w:ascii="Times New Roman" w:hAnsi="Times New Roman" w:cs="Times New Roman"/>
          <w:i/>
          <w:iCs/>
          <w:sz w:val="24"/>
          <w:szCs w:val="24"/>
        </w:rPr>
        <w:t xml:space="preserve">green accounting </w:t>
      </w:r>
      <w:r w:rsidRPr="004B27B7">
        <w:rPr>
          <w:rFonts w:ascii="Times New Roman" w:hAnsi="Times New Roman" w:cs="Times New Roman"/>
          <w:sz w:val="24"/>
          <w:szCs w:val="24"/>
        </w:rPr>
        <w:t xml:space="preserve">berpengaruh signifikan terhadap </w:t>
      </w:r>
      <w:r w:rsidRPr="000846BD">
        <w:rPr>
          <w:rFonts w:ascii="Times New Roman" w:hAnsi="Times New Roman" w:cs="Times New Roman"/>
          <w:sz w:val="24"/>
          <w:szCs w:val="24"/>
        </w:rPr>
        <w:t xml:space="preserve">profitabilitas </w:t>
      </w:r>
      <w:r w:rsidRPr="004B27B7">
        <w:rPr>
          <w:rFonts w:ascii="Times New Roman" w:hAnsi="Times New Roman" w:cs="Times New Roman"/>
          <w:sz w:val="24"/>
          <w:szCs w:val="24"/>
        </w:rPr>
        <w:t xml:space="preserve">pada perusahaan pertambangan yang terdaftar di BEI periode 2017-2019. Penelitian sebelumnya sudah sangat banyak memberikan pembaruan dengan mengatasi inkonsistensi hasil penelitian terdahulu mengenai pengaruh </w:t>
      </w:r>
      <w:r w:rsidRPr="000846BD">
        <w:rPr>
          <w:rFonts w:ascii="Times New Roman" w:hAnsi="Times New Roman" w:cs="Times New Roman"/>
          <w:i/>
          <w:iCs/>
          <w:sz w:val="24"/>
          <w:szCs w:val="24"/>
        </w:rPr>
        <w:t>green accounting</w:t>
      </w:r>
      <w:r w:rsidRPr="004B27B7">
        <w:rPr>
          <w:rFonts w:ascii="Times New Roman" w:hAnsi="Times New Roman" w:cs="Times New Roman"/>
          <w:sz w:val="24"/>
          <w:szCs w:val="24"/>
        </w:rPr>
        <w:t xml:space="preserve"> terhadap profitabilitas sehingga membutuhkan model analisis yang lebih komprehensif.</w:t>
      </w:r>
    </w:p>
    <w:p w14:paraId="18BA5387" w14:textId="46045EC5" w:rsidR="00781445" w:rsidRDefault="00781445" w:rsidP="00781445">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TINJAUAN PUSTAKA</w:t>
      </w:r>
    </w:p>
    <w:p w14:paraId="16B9CC1D" w14:textId="05D16D2E" w:rsidR="00781445" w:rsidRPr="00781445" w:rsidRDefault="00781445" w:rsidP="00781445">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Teori Legitimasi</w:t>
      </w:r>
    </w:p>
    <w:p w14:paraId="6EF34AC4" w14:textId="59108BC4" w:rsidR="00781445" w:rsidRDefault="007146E4" w:rsidP="003909BF">
      <w:pPr>
        <w:spacing w:line="360" w:lineRule="auto"/>
        <w:ind w:firstLine="720"/>
        <w:jc w:val="both"/>
        <w:rPr>
          <w:rFonts w:ascii="Times New Roman" w:hAnsi="Times New Roman" w:cs="Times New Roman"/>
          <w:sz w:val="24"/>
          <w:szCs w:val="24"/>
        </w:rPr>
      </w:pPr>
      <w:r w:rsidRPr="007146E4">
        <w:rPr>
          <w:rFonts w:ascii="Times New Roman" w:hAnsi="Times New Roman" w:cs="Times New Roman"/>
          <w:sz w:val="24"/>
          <w:szCs w:val="24"/>
        </w:rPr>
        <w:t xml:space="preserve">Teori yang diajukan oleh Dowling dan Pfeffer </w:t>
      </w:r>
      <w:r w:rsidR="0016292F">
        <w:rPr>
          <w:rFonts w:ascii="Times New Roman" w:hAnsi="Times New Roman" w:cs="Times New Roman"/>
          <w:sz w:val="24"/>
          <w:szCs w:val="24"/>
        </w:rPr>
        <w:t>(</w:t>
      </w:r>
      <w:r w:rsidRPr="007146E4">
        <w:rPr>
          <w:rFonts w:ascii="Times New Roman" w:hAnsi="Times New Roman" w:cs="Times New Roman"/>
          <w:sz w:val="24"/>
          <w:szCs w:val="24"/>
        </w:rPr>
        <w:t>1975</w:t>
      </w:r>
      <w:r w:rsidR="0016292F">
        <w:rPr>
          <w:rFonts w:ascii="Times New Roman" w:hAnsi="Times New Roman" w:cs="Times New Roman"/>
          <w:sz w:val="24"/>
          <w:szCs w:val="24"/>
        </w:rPr>
        <w:t>)</w:t>
      </w:r>
      <w:r w:rsidRPr="007146E4">
        <w:rPr>
          <w:rFonts w:ascii="Times New Roman" w:hAnsi="Times New Roman" w:cs="Times New Roman"/>
          <w:sz w:val="24"/>
          <w:szCs w:val="24"/>
        </w:rPr>
        <w:t xml:space="preserve"> ini menguraikan bahwa perusahaan perlu secara berkelanjutan memastikan bahwa kegiatan operasionalnya sesuai dengan nilai dan norma yang ditentukan oleh lingkungan di area operas</w:t>
      </w:r>
      <w:r>
        <w:rPr>
          <w:rFonts w:ascii="Times New Roman" w:hAnsi="Times New Roman" w:cs="Times New Roman"/>
          <w:sz w:val="24"/>
          <w:szCs w:val="24"/>
        </w:rPr>
        <w:t>ionalnya</w:t>
      </w:r>
      <w:r w:rsidR="000846BD">
        <w:rPr>
          <w:rFonts w:ascii="Times New Roman" w:hAnsi="Times New Roman" w:cs="Times New Roman"/>
          <w:sz w:val="24"/>
          <w:szCs w:val="24"/>
        </w:rPr>
        <w:t xml:space="preserve"> </w:t>
      </w:r>
      <w:r w:rsidRPr="004B27B7">
        <w:rPr>
          <w:rFonts w:ascii="Times New Roman" w:hAnsi="Times New Roman" w:cs="Times New Roman"/>
          <w:sz w:val="24"/>
          <w:szCs w:val="24"/>
        </w:rPr>
        <w:fldChar w:fldCharType="begin" w:fldLock="1"/>
      </w:r>
      <w:r w:rsidRPr="004B27B7">
        <w:rPr>
          <w:rFonts w:ascii="Times New Roman" w:hAnsi="Times New Roman" w:cs="Times New Roman"/>
          <w:sz w:val="24"/>
          <w:szCs w:val="24"/>
        </w:rPr>
        <w:instrText>ADDIN CSL_CITATION {"citationItems":[{"id":"ITEM-1","itemData":{"DOI":"10.37567/alwatzikhoebillah.v11i1.3636","ISSN":"2442-384X","abstract":"Global challenges in dealing with hunger, poverty, social inequality, environmental pollution, climate change, and several other important issues encourage the creation of the concept of sustainable development goals. This quantitative method research was conducted to determine the impact of green accounting implementation and environmental performance on sustainable development goals. The criteria selection process resulted in 33 samples from manufacturing companies in the consumer goods sector that published complete annual reports and sustainability reports in 2021-2023. The company also received a PROPER certificate for three consecutive years as a form of commitment to preserving the environment. This study uses multiple linear regression analysis and a series of tests, namely the classical assumption test, the coefficient of determination test, and the hypothesis test. The t-test results reveal that green accounting is unable to influence sustainable development goals. Some companies are still not transparent in conveying information about environmental costs in annual reports and sustainability reports. Furthermore, the t-test results state that environmental performance is able to influence sustainable development goals. This is evidenced by the acquisition of a consistent company environmental performance rating every year.","author":[{"dropping-particle":"","family":"Rahmatika","given":"","non-dropping-particle":"","parse-names":false,"suffix":""},{"dropping-particle":"","family":"Nadia","given":"Putri","non-dropping-particle":"","parse-names":false,"suffix":""},{"dropping-particle":"","family":"Yupita","given":"Lasmi","non-dropping-particle":"","parse-names":false,"suffix":""}],"container-title":"Jurnal Alwatzikhoebillah : Kajian Islam, Pendidikan, Ekonomi, Humaniora","id":"ITEM-1","issue":"1","issued":{"date-parts":[["2025"]]},"page":"292-306","title":"Pengaruh Green Accounting dan Kinerja Lingkungan terhadap Sustainable Development Goals pada Perusahaan Manufaktur Sektor Barang Konsumsi Tahun 2021-2023","type":"article-journal","volume":"11"},"uris":["http://www.mendeley.com/documents/?uuid=a711fb3f-20bb-42d4-9f66-120c8892a00c"]}],"mendeley":{"formattedCitation":"(Rahmatika et al., 2025)","plainTextFormattedCitation":"(Rahmatika et al., 2025)","previouslyFormattedCitation":"(Rahmatika et al., 2025)"},"properties":{"noteIndex":0},"schema":"https://github.com/citation-style-language/schema/raw/master/csl-citation.json"}</w:instrText>
      </w:r>
      <w:r w:rsidRPr="004B27B7">
        <w:rPr>
          <w:rFonts w:ascii="Times New Roman" w:hAnsi="Times New Roman" w:cs="Times New Roman"/>
          <w:sz w:val="24"/>
          <w:szCs w:val="24"/>
        </w:rPr>
        <w:fldChar w:fldCharType="separate"/>
      </w:r>
      <w:r w:rsidRPr="004B27B7">
        <w:rPr>
          <w:rFonts w:ascii="Times New Roman" w:hAnsi="Times New Roman" w:cs="Times New Roman"/>
          <w:noProof/>
          <w:sz w:val="24"/>
          <w:szCs w:val="24"/>
        </w:rPr>
        <w:t>(Rahmatika et al., 2025)</w:t>
      </w:r>
      <w:r w:rsidRPr="004B27B7">
        <w:rPr>
          <w:rFonts w:ascii="Times New Roman" w:hAnsi="Times New Roman" w:cs="Times New Roman"/>
          <w:sz w:val="24"/>
          <w:szCs w:val="24"/>
        </w:rPr>
        <w:fldChar w:fldCharType="end"/>
      </w:r>
      <w:r w:rsidRPr="004B27B7">
        <w:rPr>
          <w:rFonts w:ascii="Times New Roman" w:hAnsi="Times New Roman" w:cs="Times New Roman"/>
          <w:sz w:val="24"/>
          <w:szCs w:val="24"/>
        </w:rPr>
        <w:t xml:space="preserve">. </w:t>
      </w:r>
      <w:r w:rsidRPr="007146E4">
        <w:rPr>
          <w:rFonts w:ascii="Times New Roman" w:hAnsi="Times New Roman" w:cs="Times New Roman"/>
          <w:sz w:val="24"/>
          <w:szCs w:val="24"/>
        </w:rPr>
        <w:t>Renold Tino dan Sudana (2025) menyatakan bahwa teori ini dapat meningkatkan kepercayaan pemangku kepentingan, membangun citra yang positif, dan menghasilkan umpan balik yang baik dari masyarakat</w:t>
      </w:r>
      <w:r w:rsidR="000846BD">
        <w:rPr>
          <w:rFonts w:ascii="Times New Roman" w:hAnsi="Times New Roman" w:cs="Times New Roman"/>
          <w:sz w:val="24"/>
          <w:szCs w:val="24"/>
        </w:rPr>
        <w:t xml:space="preserve"> </w:t>
      </w:r>
      <w:r w:rsidRPr="004B27B7">
        <w:rPr>
          <w:rFonts w:ascii="Times New Roman" w:hAnsi="Times New Roman" w:cs="Times New Roman"/>
          <w:sz w:val="24"/>
          <w:szCs w:val="24"/>
        </w:rPr>
        <w:fldChar w:fldCharType="begin" w:fldLock="1"/>
      </w:r>
      <w:r w:rsidRPr="004B27B7">
        <w:rPr>
          <w:rFonts w:ascii="Times New Roman" w:hAnsi="Times New Roman" w:cs="Times New Roman"/>
          <w:sz w:val="24"/>
          <w:szCs w:val="24"/>
        </w:rPr>
        <w:instrText>ADDIN CSL_CITATION {"citationItems":[{"id":"ITEM-1","itemData":{"author":[{"dropping-particle":"","family":"Kartika Wulandhari","given":"Nera Marinda Machdar","non-dropping-particle":"","parse-names":false,"suffix":""}],"id":"ITEM-1","issued":{"date-parts":[["2025"]]},"title":"Kontribusi Biaya Lingkungan , Green Accounting , CSR , dan Ukuran","type":"article-journal","volume":"3"},"uris":["http://www.mendeley.com/documents/?uuid=8f886ab8-edfd-49a8-bc1e-e0deee2ff1b7"]}],"mendeley":{"formattedCitation":"(Kartika Wulandhari, 2025)","plainTextFormattedCitation":"(Kartika Wulandhari, 2025)","previouslyFormattedCitation":"(Kartika Wulandhari, 2025)"},"properties":{"noteIndex":0},"schema":"https://github.com/citation-style-language/schema/raw/master/csl-citation.json"}</w:instrText>
      </w:r>
      <w:r w:rsidRPr="004B27B7">
        <w:rPr>
          <w:rFonts w:ascii="Times New Roman" w:hAnsi="Times New Roman" w:cs="Times New Roman"/>
          <w:sz w:val="24"/>
          <w:szCs w:val="24"/>
        </w:rPr>
        <w:fldChar w:fldCharType="separate"/>
      </w:r>
      <w:r w:rsidRPr="004B27B7">
        <w:rPr>
          <w:rFonts w:ascii="Times New Roman" w:hAnsi="Times New Roman" w:cs="Times New Roman"/>
          <w:noProof/>
          <w:sz w:val="24"/>
          <w:szCs w:val="24"/>
        </w:rPr>
        <w:t>(Kartika Wulandhari, 2025)</w:t>
      </w:r>
      <w:r w:rsidRPr="004B27B7">
        <w:rPr>
          <w:rFonts w:ascii="Times New Roman" w:hAnsi="Times New Roman" w:cs="Times New Roman"/>
          <w:sz w:val="24"/>
          <w:szCs w:val="24"/>
        </w:rPr>
        <w:fldChar w:fldCharType="end"/>
      </w:r>
      <w:r w:rsidRPr="004B27B7">
        <w:rPr>
          <w:rFonts w:ascii="Times New Roman" w:hAnsi="Times New Roman" w:cs="Times New Roman"/>
          <w:sz w:val="24"/>
          <w:szCs w:val="24"/>
        </w:rPr>
        <w:t>.</w:t>
      </w:r>
      <w:r w:rsidR="00B42A59" w:rsidRPr="00B42A59">
        <w:t xml:space="preserve"> </w:t>
      </w:r>
      <w:r w:rsidRPr="007146E4">
        <w:rPr>
          <w:rFonts w:ascii="Times New Roman" w:hAnsi="Times New Roman" w:cs="Times New Roman"/>
          <w:sz w:val="24"/>
          <w:szCs w:val="24"/>
        </w:rPr>
        <w:t>Teori legitimasi menyatakan bahwa perusahaan memiliki perjanjian dengan masyarakat untuk menjalankan operasi</w:t>
      </w:r>
      <w:r>
        <w:rPr>
          <w:rFonts w:ascii="Times New Roman" w:hAnsi="Times New Roman" w:cs="Times New Roman"/>
          <w:sz w:val="24"/>
          <w:szCs w:val="24"/>
        </w:rPr>
        <w:t>onal</w:t>
      </w:r>
      <w:r w:rsidRPr="007146E4">
        <w:rPr>
          <w:rFonts w:ascii="Times New Roman" w:hAnsi="Times New Roman" w:cs="Times New Roman"/>
          <w:sz w:val="24"/>
          <w:szCs w:val="24"/>
        </w:rPr>
        <w:t>nya berdasarkan nilai-nilai keadilan, serta bagaimana perusahaan merespon berbagai pemangku kepentingan untuk melegitimasi perilaku perusahaan</w:t>
      </w:r>
      <w:r w:rsidR="000846BD">
        <w:rPr>
          <w:rFonts w:ascii="Times New Roman" w:hAnsi="Times New Roman" w:cs="Times New Roman"/>
          <w:sz w:val="24"/>
          <w:szCs w:val="24"/>
        </w:rPr>
        <w:t xml:space="preserve"> </w:t>
      </w:r>
      <w:r w:rsidR="00B42A59">
        <w:rPr>
          <w:rFonts w:ascii="Times New Roman" w:hAnsi="Times New Roman" w:cs="Times New Roman"/>
          <w:sz w:val="24"/>
          <w:szCs w:val="24"/>
        </w:rPr>
        <w:fldChar w:fldCharType="begin" w:fldLock="1"/>
      </w:r>
      <w:r w:rsidR="00177DFC">
        <w:rPr>
          <w:rFonts w:ascii="Times New Roman" w:hAnsi="Times New Roman" w:cs="Times New Roman"/>
          <w:sz w:val="24"/>
          <w:szCs w:val="24"/>
        </w:rPr>
        <w:instrText>ADDIN CSL_CITATION {"citationItems":[{"id":"ITEM-1","itemData":{"DOI":"10.33510/statera.2021.3.1.65-74","ISSN":"2656-9418","abstract":"Penelitian ini bertujuan untuk menguji pengaruh pengungkapan corporate social responsibility, mekanisme corporate governance yang terdiri dari kepemilikan manajerial dan komite audit, serta profitabilitas terhadap penghindaran pajak. Populasi penelitian ini adalah perusahaan pertambangan yang terdaftar di Bursa Efek Indonesia tahun 2014-2018. Sampel yang diuji dalam penelitian ini adalah sebanyak 13 perusahaan dengan total 65 sampel yang diambil berdasarkan metode purposive sampling. Data yang digunakan dalam penelitian ini adalah data sekunder berupa laporan keuangan dan laporan tahunan. Penelitian ini menggunakan analisis regresi linier berganda. Hasil penelitian menunjukkan bahwa komite audit dan profitabilitas berpengaruh negatif signifikan terhadap penghindaran pajak. Selain itu, ditemukan hasil kepemilikan manajerial dan corporate social responsibility tidak berpengaruh terhadap penghindaran pajak.","author":[{"dropping-particle":"","family":"Yanti, Dadan Ramdhani","given":"Merryam Apriyanti Sitompul","non-dropping-particle":"","parse-names":false,"suffix":""}],"container-title":"STATERA: Jurnal Akuntansi dan Keuangan","id":"ITEM-1","issue":"1","issued":{"date-parts":[["2021"]]},"page":"65-74","title":"Peran Corporate Social Responsibility, Corporate Governance dan Profitabilitas: Indikasi Penghindaran Pajak Pada Sektor Pertambangan di Indonesia","type":"article-journal","volume":"3"},"uris":["http://www.mendeley.com/documents/?uuid=23964b8f-dae4-4a2f-ba1a-75118b675bb9"]}],"mendeley":{"formattedCitation":"(Yanti, Dadan Ramdhani, 2021)","manualFormatting":"(Yanti et al, 2021)","plainTextFormattedCitation":"(Yanti, Dadan Ramdhani, 2021)","previouslyFormattedCitation":"(Yanti, Dadan Ramdhani, 2021)"},"properties":{"noteIndex":0},"schema":"https://github.com/citation-style-language/schema/raw/master/csl-citation.json"}</w:instrText>
      </w:r>
      <w:r w:rsidR="00B42A59">
        <w:rPr>
          <w:rFonts w:ascii="Times New Roman" w:hAnsi="Times New Roman" w:cs="Times New Roman"/>
          <w:sz w:val="24"/>
          <w:szCs w:val="24"/>
        </w:rPr>
        <w:fldChar w:fldCharType="separate"/>
      </w:r>
      <w:r w:rsidR="00B42A59" w:rsidRPr="00B42A59">
        <w:rPr>
          <w:rFonts w:ascii="Times New Roman" w:hAnsi="Times New Roman" w:cs="Times New Roman"/>
          <w:noProof/>
          <w:sz w:val="24"/>
          <w:szCs w:val="24"/>
        </w:rPr>
        <w:t>(Yanti</w:t>
      </w:r>
      <w:r w:rsidR="000846BD">
        <w:rPr>
          <w:rFonts w:ascii="Times New Roman" w:hAnsi="Times New Roman" w:cs="Times New Roman"/>
          <w:noProof/>
          <w:sz w:val="24"/>
          <w:szCs w:val="24"/>
        </w:rPr>
        <w:t xml:space="preserve"> et al</w:t>
      </w:r>
      <w:r w:rsidR="00B42A59" w:rsidRPr="00B42A59">
        <w:rPr>
          <w:rFonts w:ascii="Times New Roman" w:hAnsi="Times New Roman" w:cs="Times New Roman"/>
          <w:noProof/>
          <w:sz w:val="24"/>
          <w:szCs w:val="24"/>
        </w:rPr>
        <w:t>, 2021)</w:t>
      </w:r>
      <w:r w:rsidR="00B42A59">
        <w:rPr>
          <w:rFonts w:ascii="Times New Roman" w:hAnsi="Times New Roman" w:cs="Times New Roman"/>
          <w:sz w:val="24"/>
          <w:szCs w:val="24"/>
        </w:rPr>
        <w:fldChar w:fldCharType="end"/>
      </w:r>
      <w:r w:rsidR="00CE6B67" w:rsidRPr="004B27B7">
        <w:rPr>
          <w:rFonts w:ascii="Times New Roman" w:hAnsi="Times New Roman" w:cs="Times New Roman"/>
          <w:sz w:val="24"/>
          <w:szCs w:val="24"/>
        </w:rPr>
        <w:t xml:space="preserve">. </w:t>
      </w:r>
      <w:r w:rsidRPr="007146E4">
        <w:rPr>
          <w:rFonts w:ascii="Times New Roman" w:hAnsi="Times New Roman" w:cs="Times New Roman"/>
          <w:sz w:val="24"/>
          <w:szCs w:val="24"/>
        </w:rPr>
        <w:t>Oleh karena itu, sesuai dengan teori ini, perusahaan dalam pandangan publik dan pemangku kepentingan dapat mengimplementasikan strategi yang memperbaiki efisiensi serta reputasi, yang pada akhirnya akan berdampak pada peningkatan profitabilitas</w:t>
      </w:r>
      <w:r w:rsidR="000846BD">
        <w:rPr>
          <w:rFonts w:ascii="Times New Roman" w:hAnsi="Times New Roman" w:cs="Times New Roman"/>
          <w:sz w:val="24"/>
          <w:szCs w:val="24"/>
        </w:rPr>
        <w:t xml:space="preserve"> </w:t>
      </w:r>
      <w:r w:rsidRPr="004B27B7">
        <w:rPr>
          <w:rFonts w:ascii="Times New Roman" w:hAnsi="Times New Roman" w:cs="Times New Roman"/>
          <w:sz w:val="24"/>
          <w:szCs w:val="24"/>
        </w:rPr>
        <w:fldChar w:fldCharType="begin" w:fldLock="1"/>
      </w:r>
      <w:r w:rsidRPr="004B27B7">
        <w:rPr>
          <w:rFonts w:ascii="Times New Roman" w:hAnsi="Times New Roman" w:cs="Times New Roman"/>
          <w:sz w:val="24"/>
          <w:szCs w:val="24"/>
        </w:rPr>
        <w:instrText>ADDIN CSL_CITATION {"citationItems":[{"id":"ITEM-1","itemData":{"DOI":"10.19105/sfj.v5i1.18385","ISSN":"2797-5320","abstract":"Isu-isu lingkungan yang menjadi sorotan akhir-akhir ini, seperti polusi, perubahan iklim, dan degradasi sumber daya alam, menjadi faktor pendorong dilakukannya penelitian ini. Kegiatan produksi perusahaan memiliki dampak yang besar terhadap lingkungan, terutama perusahaan manufaktur di sektor konsumen yang bersifat non siklus. Oleh karena itu, perusahaan harus menyusun strategi bisnis yang berkelanjutan dan ramah lingkungan. Penelitian ini menguji pengaruh green accounting, kinerja lingkungan, biaya lingkungan, pengungkapan tanggung jawab sosial perusahaan, dan ukuran perusahaan terhadap profitabilitas pada perusahaan manufaktur sektor konsumer non siklus yang terdaftar di bursa efek Indonesia tahun 2021-2023. Purposive sampling adalah strategi pengambilan sampel yang digunakan dalam penelitian ini, dan data sekunder seperti laporan keberlanjutan dan laporan tahunan digunakan untuk pengumpulan data. Sebanyak 15 perusahaan telah memenuhi syarat untuk menjadi unit observasi. Teknik analisis data yang digunakan adalah analisis regresi linier berganda dan uji asumsi klasik dengan menggunakan SPSS 25 sebagai alat uji. Temuan ini memberikan bukti faktual bahwa ukuran perusahaan secara signifikan mempengaruhi profitabilitas. Sementara itu, perusahaan manufaktur sektor barang konsumsi non siklis yang terdaftar di Bursa Efek Indonesia tahun 2021-2023 tidak mengalami perubahan profitabilitas sebagai akibat dari green accounting, kinerja lingkungan, maupun pengungkapan tanggung jawab sosial perusahaan.","author":[{"dropping-particle":"","family":"Lusiana","given":"Prima Aprilia","non-dropping-particle":"","parse-names":false,"suffix":""},{"dropping-particle":"","family":"Mujiyati","given":"","non-dropping-particle":"","parse-names":false,"suffix":""}],"container-title":"Shafin: Sharia Finance and Accounting Journal","id":"ITEM-1","issue":"1","issued":{"date-parts":[["2025"]]},"page":"81-95","title":"Pengaruh Green Accounting, Kinerja Lingkungan, Biaya Lingkungan, Pengungkapan Corporate Social Responsibility Dan Ukuran Perusahaan Terhadap Profitabilitas","type":"article-journal","volume":"5"},"uris":["http://www.mendeley.com/documents/?uuid=e8aaff92-e22e-461e-9cbc-513986305b27"]}],"mendeley":{"formattedCitation":"(Lusiana &amp; Mujiyati, 2025)","plainTextFormattedCitation":"(Lusiana &amp; Mujiyati, 2025)","previouslyFormattedCitation":"(Lusiana &amp; Mujiyati, 2025)"},"properties":{"noteIndex":0},"schema":"https://github.com/citation-style-language/schema/raw/master/csl-citation.json"}</w:instrText>
      </w:r>
      <w:r w:rsidRPr="004B27B7">
        <w:rPr>
          <w:rFonts w:ascii="Times New Roman" w:hAnsi="Times New Roman" w:cs="Times New Roman"/>
          <w:sz w:val="24"/>
          <w:szCs w:val="24"/>
        </w:rPr>
        <w:fldChar w:fldCharType="separate"/>
      </w:r>
      <w:r w:rsidRPr="004B27B7">
        <w:rPr>
          <w:rFonts w:ascii="Times New Roman" w:hAnsi="Times New Roman" w:cs="Times New Roman"/>
          <w:noProof/>
          <w:sz w:val="24"/>
          <w:szCs w:val="24"/>
        </w:rPr>
        <w:t>(Lusiana &amp; Mujiyati, 2025)</w:t>
      </w:r>
      <w:r w:rsidRPr="004B27B7">
        <w:rPr>
          <w:rFonts w:ascii="Times New Roman" w:hAnsi="Times New Roman" w:cs="Times New Roman"/>
          <w:sz w:val="24"/>
          <w:szCs w:val="24"/>
        </w:rPr>
        <w:fldChar w:fldCharType="end"/>
      </w:r>
      <w:r w:rsidRPr="004B27B7">
        <w:rPr>
          <w:rFonts w:ascii="Times New Roman" w:hAnsi="Times New Roman" w:cs="Times New Roman"/>
          <w:sz w:val="24"/>
          <w:szCs w:val="24"/>
        </w:rPr>
        <w:t>.</w:t>
      </w:r>
    </w:p>
    <w:p w14:paraId="0BE4AA0B" w14:textId="07E6838F" w:rsidR="00781445" w:rsidRDefault="007146E4" w:rsidP="003909B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w:t>
      </w:r>
      <w:r w:rsidRPr="007146E4">
        <w:rPr>
          <w:rFonts w:ascii="Times New Roman" w:hAnsi="Times New Roman" w:cs="Times New Roman"/>
          <w:sz w:val="24"/>
          <w:szCs w:val="24"/>
        </w:rPr>
        <w:t xml:space="preserve">eori legitimasi diterapkan dalam </w:t>
      </w:r>
      <w:r w:rsidRPr="000846BD">
        <w:rPr>
          <w:rFonts w:ascii="Times New Roman" w:hAnsi="Times New Roman" w:cs="Times New Roman"/>
          <w:i/>
          <w:iCs/>
          <w:sz w:val="24"/>
          <w:szCs w:val="24"/>
        </w:rPr>
        <w:t>green accounting</w:t>
      </w:r>
      <w:r w:rsidRPr="007146E4">
        <w:rPr>
          <w:rFonts w:ascii="Times New Roman" w:hAnsi="Times New Roman" w:cs="Times New Roman"/>
          <w:sz w:val="24"/>
          <w:szCs w:val="24"/>
        </w:rPr>
        <w:t xml:space="preserve"> karena teori ini memiliki dampak besar pada lokasi perusahaan</w:t>
      </w:r>
      <w:r>
        <w:rPr>
          <w:rFonts w:ascii="Times New Roman" w:hAnsi="Times New Roman" w:cs="Times New Roman"/>
          <w:sz w:val="24"/>
          <w:szCs w:val="24"/>
        </w:rPr>
        <w:t xml:space="preserve"> berada</w:t>
      </w:r>
      <w:r w:rsidRPr="007146E4">
        <w:rPr>
          <w:rFonts w:ascii="Times New Roman" w:hAnsi="Times New Roman" w:cs="Times New Roman"/>
          <w:sz w:val="24"/>
          <w:szCs w:val="24"/>
        </w:rPr>
        <w:t>, sehingga ketika perusahaan menunjukkan kepedulian lebih terhadap lingkungan</w:t>
      </w:r>
      <w:r>
        <w:rPr>
          <w:rFonts w:ascii="Times New Roman" w:hAnsi="Times New Roman" w:cs="Times New Roman"/>
          <w:sz w:val="24"/>
          <w:szCs w:val="24"/>
        </w:rPr>
        <w:t xml:space="preserve">, </w:t>
      </w:r>
      <w:r w:rsidR="00781445">
        <w:rPr>
          <w:rFonts w:ascii="Times New Roman" w:hAnsi="Times New Roman" w:cs="Times New Roman"/>
          <w:sz w:val="24"/>
          <w:szCs w:val="24"/>
        </w:rPr>
        <w:t>maka</w:t>
      </w:r>
      <w:r w:rsidRPr="007146E4">
        <w:rPr>
          <w:rFonts w:ascii="Times New Roman" w:hAnsi="Times New Roman" w:cs="Times New Roman"/>
          <w:sz w:val="24"/>
          <w:szCs w:val="24"/>
        </w:rPr>
        <w:t xml:space="preserve"> akan menciptakan citra positif di mata masyarakat</w:t>
      </w:r>
      <w:r w:rsidR="000846BD">
        <w:rPr>
          <w:rFonts w:ascii="Times New Roman" w:hAnsi="Times New Roman" w:cs="Times New Roman"/>
          <w:sz w:val="24"/>
          <w:szCs w:val="24"/>
        </w:rPr>
        <w:t xml:space="preserve"> </w:t>
      </w:r>
      <w:r w:rsidRPr="004B27B7">
        <w:rPr>
          <w:rFonts w:ascii="Times New Roman" w:hAnsi="Times New Roman" w:cs="Times New Roman"/>
          <w:sz w:val="24"/>
          <w:szCs w:val="24"/>
        </w:rPr>
        <w:fldChar w:fldCharType="begin" w:fldLock="1"/>
      </w:r>
      <w:r w:rsidRPr="004B27B7">
        <w:rPr>
          <w:rFonts w:ascii="Times New Roman" w:hAnsi="Times New Roman" w:cs="Times New Roman"/>
          <w:sz w:val="24"/>
          <w:szCs w:val="24"/>
        </w:rPr>
        <w:instrText>ADDIN CSL_CITATION {"citationItems":[{"id":"ITEM-1","itemData":{"abstract":"Predicting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approach.","author":[{"dropping-particle":"","family":"Permatasari","given":"Akhmalia Yuyun","non-dropping-particle":"","parse-names":false,"suffix":""}],"container-title":"Gastronomía ecuatoriana y turismo local.","id":"ITEM-1","issue":"69","issued":{"date-parts":[["2023"]]},"page":"1-64","title":"PENGARUH PENERAPAN GREEN ACCOUNTING DAN KINERJA LINGKUNGAN TERHADAP PROFITABILITAS PADA PERUSAHAAN PERTAMBANGAN YANG TERDAFTAR DI BURSA EFEK INDONESIA","type":"article-journal","volume":"1"},"uris":["http://www.mendeley.com/documents/?uuid=9ea82ad3-6885-4864-9022-e309393839e4"]}],"mendeley":{"formattedCitation":"(Permatasari, 2023)","plainTextFormattedCitation":"(Permatasari, 2023)","previouslyFormattedCitation":"(Permatasari, 2023)"},"properties":{"noteIndex":0},"schema":"https://github.com/citation-style-language/schema/raw/master/csl-citation.json"}</w:instrText>
      </w:r>
      <w:r w:rsidRPr="004B27B7">
        <w:rPr>
          <w:rFonts w:ascii="Times New Roman" w:hAnsi="Times New Roman" w:cs="Times New Roman"/>
          <w:sz w:val="24"/>
          <w:szCs w:val="24"/>
        </w:rPr>
        <w:fldChar w:fldCharType="separate"/>
      </w:r>
      <w:r w:rsidRPr="004B27B7">
        <w:rPr>
          <w:rFonts w:ascii="Times New Roman" w:hAnsi="Times New Roman" w:cs="Times New Roman"/>
          <w:noProof/>
          <w:sz w:val="24"/>
          <w:szCs w:val="24"/>
        </w:rPr>
        <w:t>(Permatasari, 2023)</w:t>
      </w:r>
      <w:r w:rsidRPr="004B27B7">
        <w:rPr>
          <w:rFonts w:ascii="Times New Roman" w:hAnsi="Times New Roman" w:cs="Times New Roman"/>
          <w:sz w:val="24"/>
          <w:szCs w:val="24"/>
        </w:rPr>
        <w:fldChar w:fldCharType="end"/>
      </w:r>
      <w:r w:rsidRPr="004B27B7">
        <w:rPr>
          <w:rFonts w:ascii="Times New Roman" w:hAnsi="Times New Roman" w:cs="Times New Roman"/>
          <w:sz w:val="24"/>
          <w:szCs w:val="24"/>
        </w:rPr>
        <w:t xml:space="preserve">. </w:t>
      </w:r>
      <w:r w:rsidRPr="004B27B7">
        <w:rPr>
          <w:rFonts w:ascii="Times New Roman" w:hAnsi="Times New Roman" w:cs="Times New Roman"/>
          <w:i/>
          <w:iCs/>
          <w:sz w:val="24"/>
          <w:szCs w:val="24"/>
        </w:rPr>
        <w:t>Green accounting</w:t>
      </w:r>
      <w:r w:rsidRPr="004B27B7">
        <w:rPr>
          <w:rFonts w:ascii="Times New Roman" w:hAnsi="Times New Roman" w:cs="Times New Roman"/>
          <w:sz w:val="24"/>
          <w:szCs w:val="24"/>
        </w:rPr>
        <w:t xml:space="preserve"> </w:t>
      </w:r>
      <w:r w:rsidR="00781445" w:rsidRPr="00781445">
        <w:rPr>
          <w:rFonts w:ascii="Times New Roman" w:hAnsi="Times New Roman" w:cs="Times New Roman"/>
          <w:sz w:val="24"/>
          <w:szCs w:val="24"/>
        </w:rPr>
        <w:t>menjadi solusi strategis untuk menghadapi tantangan lingkungan akibat aktivitas perusahaan, kebijakan ini didasarkan pada PP Nomor 47 tahun 2012 mengenai Tanggung Jawab Sosial dan Lingkungan Perseroan Terbatas yang mewajibkan perusahaan menjalankan tanggung jawab lingkungan</w:t>
      </w:r>
      <w:r w:rsidR="00781445">
        <w:rPr>
          <w:rFonts w:ascii="Times New Roman" w:hAnsi="Times New Roman" w:cs="Times New Roman"/>
          <w:sz w:val="24"/>
          <w:szCs w:val="24"/>
        </w:rPr>
        <w:t>,</w:t>
      </w:r>
      <w:r w:rsidRPr="004B27B7">
        <w:rPr>
          <w:rFonts w:ascii="Times New Roman" w:hAnsi="Times New Roman" w:cs="Times New Roman"/>
          <w:sz w:val="24"/>
          <w:szCs w:val="24"/>
        </w:rPr>
        <w:t xml:space="preserve"> melalui </w:t>
      </w:r>
      <w:r w:rsidRPr="004B27B7">
        <w:rPr>
          <w:rFonts w:ascii="Times New Roman" w:hAnsi="Times New Roman" w:cs="Times New Roman"/>
          <w:i/>
          <w:iCs/>
          <w:sz w:val="24"/>
          <w:szCs w:val="24"/>
        </w:rPr>
        <w:t>green accounting</w:t>
      </w:r>
      <w:r w:rsidRPr="004B27B7">
        <w:rPr>
          <w:rFonts w:ascii="Times New Roman" w:hAnsi="Times New Roman" w:cs="Times New Roman"/>
          <w:sz w:val="24"/>
          <w:szCs w:val="24"/>
        </w:rPr>
        <w:t xml:space="preserve"> perusahaan menghitung biaya lingkungan sebagai </w:t>
      </w:r>
      <w:r w:rsidR="00781445">
        <w:rPr>
          <w:rFonts w:ascii="Times New Roman" w:hAnsi="Times New Roman" w:cs="Times New Roman"/>
          <w:sz w:val="24"/>
          <w:szCs w:val="24"/>
        </w:rPr>
        <w:t>bentuk</w:t>
      </w:r>
      <w:r w:rsidRPr="004B27B7">
        <w:rPr>
          <w:rFonts w:ascii="Times New Roman" w:hAnsi="Times New Roman" w:cs="Times New Roman"/>
          <w:sz w:val="24"/>
          <w:szCs w:val="24"/>
        </w:rPr>
        <w:t xml:space="preserve"> komitmen terhadap berkelanjutan</w:t>
      </w:r>
      <w:r w:rsidR="000846BD">
        <w:rPr>
          <w:rFonts w:ascii="Times New Roman" w:hAnsi="Times New Roman" w:cs="Times New Roman"/>
          <w:sz w:val="24"/>
          <w:szCs w:val="24"/>
        </w:rPr>
        <w:t xml:space="preserve"> </w:t>
      </w:r>
      <w:r w:rsidRPr="004B27B7">
        <w:rPr>
          <w:rFonts w:ascii="Times New Roman" w:hAnsi="Times New Roman" w:cs="Times New Roman"/>
          <w:sz w:val="24"/>
          <w:szCs w:val="24"/>
        </w:rPr>
        <w:fldChar w:fldCharType="begin" w:fldLock="1"/>
      </w:r>
      <w:r w:rsidRPr="004B27B7">
        <w:rPr>
          <w:rFonts w:ascii="Times New Roman" w:hAnsi="Times New Roman" w:cs="Times New Roman"/>
          <w:sz w:val="24"/>
          <w:szCs w:val="24"/>
        </w:rPr>
        <w:instrText>ADDIN CSL_CITATION {"citationItems":[{"id":"ITEM-1","itemData":{"DOI":"10.31000/bvaj.v9i1.13892","abstract":"Financial Performance is an analysis conducted to see the extent to which a company has run its business using financial implementation rules properly and correctly (Fahmi, 2014). There are several variables that can affect Financial Performance, which are focused on in this study are Green Accounting (GA) and Corporate Social Responsibility (CSR). GA is an accounting practice that considers the environmental impact of business activities. This includes measuring the costs and benefits associated with the use of natural resources and waste produced. GA can have a significant impact on a company's financial performance. The next variable is CSR. CSR has the potential to provide a significant positive impact on a company's financial performance. Although there are initial costs to be borne, long-term benefits, such as increased reputation, customer loyalty, and access to capital, can result in better financial performance. The purpose of the study was to test and provide empirical evidence of the influence of independent variables, namely Green Accounting as measured by Proper Performance Rating and Corporate Social Responsibility (CSR) as measured by LN Charitable Donations on the dependent variable, namely Financial Performance as measured by Return On Asset (ROA). This study will further use multiple regression analysis which begins with descriptive statistical testing, classical assumption testing and hypothesis testing. Data testing is assisted by using the SPSS program. The result of this study show that GA has an effect to FP and CSR has no effect on FP","author":[{"dropping-particle":"","family":"Silvia Fitriana","given":"Sobrotul Imtikhanah","non-dropping-particle":"","parse-names":false,"suffix":""}],"container-title":"Balance Vocation Accounting Journal","id":"ITEM-1","issue":"1","issued":{"date-parts":[["2025"]]},"page":"36","title":"The Effect Of Green Accounting And Corporate Social Responsibility On Financial Performance","type":"article-journal","volume":"9"},"uris":["http://www.mendeley.com/documents/?uuid=c3240579-427c-4d4e-a028-f5150240a624"]}],"mendeley":{"formattedCitation":"(Silvia Fitriana, 2025)","plainTextFormattedCitation":"(Silvia Fitriana, 2025)","previouslyFormattedCitation":"(Silvia Fitriana, 2025)"},"properties":{"noteIndex":0},"schema":"https://github.com/citation-style-language/schema/raw/master/csl-citation.json"}</w:instrText>
      </w:r>
      <w:r w:rsidRPr="004B27B7">
        <w:rPr>
          <w:rFonts w:ascii="Times New Roman" w:hAnsi="Times New Roman" w:cs="Times New Roman"/>
          <w:sz w:val="24"/>
          <w:szCs w:val="24"/>
        </w:rPr>
        <w:fldChar w:fldCharType="separate"/>
      </w:r>
      <w:r w:rsidRPr="004B27B7">
        <w:rPr>
          <w:rFonts w:ascii="Times New Roman" w:hAnsi="Times New Roman" w:cs="Times New Roman"/>
          <w:noProof/>
          <w:sz w:val="24"/>
          <w:szCs w:val="24"/>
        </w:rPr>
        <w:t>(Silvia Fitriana, 2025)</w:t>
      </w:r>
      <w:r w:rsidRPr="004B27B7">
        <w:rPr>
          <w:rFonts w:ascii="Times New Roman" w:hAnsi="Times New Roman" w:cs="Times New Roman"/>
          <w:sz w:val="24"/>
          <w:szCs w:val="24"/>
        </w:rPr>
        <w:fldChar w:fldCharType="end"/>
      </w:r>
      <w:r w:rsidRPr="004B27B7">
        <w:rPr>
          <w:rFonts w:ascii="Times New Roman" w:hAnsi="Times New Roman" w:cs="Times New Roman"/>
          <w:sz w:val="24"/>
          <w:szCs w:val="24"/>
        </w:rPr>
        <w:t xml:space="preserve">. </w:t>
      </w:r>
      <w:r w:rsidRPr="004B27B7">
        <w:rPr>
          <w:rFonts w:ascii="Times New Roman" w:hAnsi="Times New Roman" w:cs="Times New Roman"/>
          <w:i/>
          <w:iCs/>
          <w:sz w:val="24"/>
          <w:szCs w:val="24"/>
        </w:rPr>
        <w:t>Green accounting</w:t>
      </w:r>
      <w:r w:rsidRPr="004B27B7">
        <w:rPr>
          <w:rFonts w:ascii="Times New Roman" w:hAnsi="Times New Roman" w:cs="Times New Roman"/>
          <w:sz w:val="24"/>
          <w:szCs w:val="24"/>
        </w:rPr>
        <w:t xml:space="preserve"> </w:t>
      </w:r>
      <w:r w:rsidR="00781445" w:rsidRPr="00781445">
        <w:rPr>
          <w:rFonts w:ascii="Times New Roman" w:hAnsi="Times New Roman" w:cs="Times New Roman"/>
          <w:sz w:val="24"/>
          <w:szCs w:val="24"/>
        </w:rPr>
        <w:t>bertujuan untuk menyajikan transparansi mengenai biaya lingkungan yang ditanggung oleh perusahaan dan mendukung manajemen dalam membuat keputusan yang lebih berkelanjutan</w:t>
      </w:r>
      <w:r w:rsidR="000846BD">
        <w:rPr>
          <w:rFonts w:ascii="Times New Roman" w:hAnsi="Times New Roman" w:cs="Times New Roman"/>
          <w:sz w:val="24"/>
          <w:szCs w:val="24"/>
        </w:rPr>
        <w:t xml:space="preserve"> </w:t>
      </w:r>
      <w:r w:rsidRPr="004B27B7">
        <w:rPr>
          <w:rFonts w:ascii="Times New Roman" w:hAnsi="Times New Roman" w:cs="Times New Roman"/>
          <w:sz w:val="24"/>
          <w:szCs w:val="24"/>
        </w:rPr>
        <w:fldChar w:fldCharType="begin" w:fldLock="1"/>
      </w:r>
      <w:r w:rsidRPr="004B27B7">
        <w:rPr>
          <w:rFonts w:ascii="Times New Roman" w:hAnsi="Times New Roman" w:cs="Times New Roman"/>
          <w:sz w:val="24"/>
          <w:szCs w:val="24"/>
        </w:rPr>
        <w:instrText>ADDIN CSL_CITATION {"citationItems":[{"id":"ITEM-1","itemData":{"abstract":"The increasing environmental crisis requires companies to contribute to better environmental management. PT. Sinar Sosro implements the 3K RL (Quality, Safety, Health and Environmentally Friendly) policy as an effort to reduce environmental impacts. However, the implementation of green accounting in this policy still faces challenges in measuring environmental impacts, resource efficiency and transparency of financial reports. This research aims to analyze the implementation of green accounting in the 3K RL policy at PT. Sinar Sosro. This study explores how PT Sinar Sosro identifies, measures and reports their environmental performance through the 3K RL policy. Using qualitative methods, data was collected through questionnaires distributed to several PT Sinar Sosro employees, direct observation, and analysis of company documents. The research results show that PT Sinar Sosro has implemented green accounting elements in its 3K RL policy, especially in waste management, energy efficiency and sustainable use of resources. However, there is still room for improvement, particularly in the transparency of reporting environmental costs into strategic decision making. This research provides insight into green accounting practices in the beverage industry and their contribution to business sustainability. The implication of this study is the importance of companies adopting green accounting as an integral part of business strategy.","author":[{"dropping-particle":"","family":"Affandhy","given":"Aziez","non-dropping-particle":"","parse-names":false,"suffix":""},{"dropping-particle":"","family":"Cholid Mawardi","given":"M","non-dropping-particle":"","parse-names":false,"suffix":""},{"dropping-particle":"","family":"Diah Fakhriyyah","given":"","non-dropping-particle":"","parse-names":false,"suffix":""}],"container-title":"e_Jurnal Ilmiah Riset Akuntansi","id":"ITEM-1","issue":"01","issued":{"date-parts":[["2025"]]},"page":"570-580","title":"Analisis Penerapan Green Accounting pada Kebijakan 3K RL (Kualitas","type":"article-journal","volume":"14"},"uris":["http://www.mendeley.com/documents/?uuid=837b738e-a9ab-4310-916f-e00a4b34e9ea"]}],"mendeley":{"formattedCitation":"(Affandhy et al., 2025)","plainTextFormattedCitation":"(Affandhy et al., 2025)","previouslyFormattedCitation":"(Affandhy et al., 2025)"},"properties":{"noteIndex":0},"schema":"https://github.com/citation-style-language/schema/raw/master/csl-citation.json"}</w:instrText>
      </w:r>
      <w:r w:rsidRPr="004B27B7">
        <w:rPr>
          <w:rFonts w:ascii="Times New Roman" w:hAnsi="Times New Roman" w:cs="Times New Roman"/>
          <w:sz w:val="24"/>
          <w:szCs w:val="24"/>
        </w:rPr>
        <w:fldChar w:fldCharType="separate"/>
      </w:r>
      <w:r w:rsidRPr="004B27B7">
        <w:rPr>
          <w:rFonts w:ascii="Times New Roman" w:hAnsi="Times New Roman" w:cs="Times New Roman"/>
          <w:noProof/>
          <w:sz w:val="24"/>
          <w:szCs w:val="24"/>
        </w:rPr>
        <w:t>(Affandhy et al., 2025)</w:t>
      </w:r>
      <w:r w:rsidRPr="004B27B7">
        <w:rPr>
          <w:rFonts w:ascii="Times New Roman" w:hAnsi="Times New Roman" w:cs="Times New Roman"/>
          <w:sz w:val="24"/>
          <w:szCs w:val="24"/>
        </w:rPr>
        <w:fldChar w:fldCharType="end"/>
      </w:r>
      <w:r w:rsidRPr="004B27B7">
        <w:rPr>
          <w:rFonts w:ascii="Times New Roman" w:hAnsi="Times New Roman" w:cs="Times New Roman"/>
          <w:sz w:val="24"/>
          <w:szCs w:val="24"/>
        </w:rPr>
        <w:t>.</w:t>
      </w:r>
    </w:p>
    <w:p w14:paraId="0A28C730" w14:textId="1C89E3C7" w:rsidR="007D6DA0" w:rsidRDefault="00781445" w:rsidP="003909BF">
      <w:pPr>
        <w:spacing w:line="360" w:lineRule="auto"/>
        <w:ind w:firstLine="720"/>
        <w:jc w:val="both"/>
        <w:rPr>
          <w:rFonts w:ascii="Times New Roman" w:hAnsi="Times New Roman" w:cs="Times New Roman"/>
          <w:sz w:val="24"/>
          <w:szCs w:val="24"/>
        </w:rPr>
      </w:pPr>
      <w:r w:rsidRPr="00781445">
        <w:rPr>
          <w:rFonts w:ascii="Times New Roman" w:hAnsi="Times New Roman" w:cs="Times New Roman"/>
          <w:sz w:val="24"/>
          <w:szCs w:val="24"/>
        </w:rPr>
        <w:t>Teori legitimasi menguraikan bahwa dalam konteks profitabilitas perusahaan, kinerja keuangan yang baik memiliki kemampuan dan motivasi yang lebih tinggi untuk mengungkapkan informasi secara transparan serta melaksanakan program tanggung jawab sosial perusahaan</w:t>
      </w:r>
      <w:r w:rsidR="000846BD">
        <w:rPr>
          <w:rFonts w:ascii="Times New Roman" w:hAnsi="Times New Roman" w:cs="Times New Roman"/>
          <w:sz w:val="24"/>
          <w:szCs w:val="24"/>
        </w:rPr>
        <w:t xml:space="preserve"> </w:t>
      </w:r>
      <w:r w:rsidRPr="004B27B7">
        <w:rPr>
          <w:rFonts w:ascii="Times New Roman" w:hAnsi="Times New Roman" w:cs="Times New Roman"/>
          <w:sz w:val="24"/>
          <w:szCs w:val="24"/>
        </w:rPr>
        <w:fldChar w:fldCharType="begin" w:fldLock="1"/>
      </w:r>
      <w:r w:rsidRPr="004B27B7">
        <w:rPr>
          <w:rFonts w:ascii="Times New Roman" w:hAnsi="Times New Roman" w:cs="Times New Roman"/>
          <w:sz w:val="24"/>
          <w:szCs w:val="24"/>
        </w:rPr>
        <w:instrText>ADDIN CSL_CITATION {"citationItems":[{"id":"ITEM-1","itemData":{"DOI":"10.24843/EJA.2024.v34.i08.p06","ISSN":"2302-8556","abstract":"&lt;p&gt;Corporate Social Responsibility (CSR) is a form of corporate responsibility to stakeholders and the community because of the damage caused by the company's operations. The purpose of this study is to empirically prove the effect of the application of green accounting, profitability, leverage, size of the board of commissioners, and media disclosure on CSR disclosures in mining companies which successively during the 2016-2020 period received PROPER awards from the Ministry of Environment and Forestry with  40 samples. Data collection is done by literature study. The data collected were analyzed using multiple linear regression analysis. The results show that green accounting and media disclosure have a significant positive effect on CSR disclosure, profitability and leverage have a negative effect on CSR disclosure, the size of the board of commissioners has no significant effect on CSR disclosure.&lt;/p&gt;","author":[{"dropping-particle":"","family":"Kondo","given":"Agnes Monika Febrianti","non-dropping-particle":"","parse-names":false,"suffix":""},{"dropping-particle":"","family":"Wirawati","given":"Ni Gusti Putu","non-dropping-particle":"","parse-names":false,"suffix":""}],"container-title":"E-Jurnal Akuntansi","id":"ITEM-1","issue":"8","issued":{"date-parts":[["2024"]]},"page":"1973","title":"Penerapan Green Accounting, Profitabilitas, Leverage, Ukuran Dewan Komisaris, dan Pengungkapan Media Pada Pengungkapan CSR","type":"article-journal","volume":"34"},"uris":["http://www.mendeley.com/documents/?uuid=2b15dd5d-3a89-4ba4-a7ab-c3aba010aa5d"]}],"mendeley":{"formattedCitation":"(Kondo &amp; Wirawati, 2024)","plainTextFormattedCitation":"(Kondo &amp; Wirawati, 2024)","previouslyFormattedCitation":"(Kondo &amp; Wirawati, 2024)"},"properties":{"noteIndex":0},"schema":"https://github.com/citation-style-language/schema/raw/master/csl-citation.json"}</w:instrText>
      </w:r>
      <w:r w:rsidRPr="004B27B7">
        <w:rPr>
          <w:rFonts w:ascii="Times New Roman" w:hAnsi="Times New Roman" w:cs="Times New Roman"/>
          <w:sz w:val="24"/>
          <w:szCs w:val="24"/>
        </w:rPr>
        <w:fldChar w:fldCharType="separate"/>
      </w:r>
      <w:r w:rsidRPr="004B27B7">
        <w:rPr>
          <w:rFonts w:ascii="Times New Roman" w:hAnsi="Times New Roman" w:cs="Times New Roman"/>
          <w:noProof/>
          <w:sz w:val="24"/>
          <w:szCs w:val="24"/>
        </w:rPr>
        <w:t>(Kondo &amp; Wirawati, 2024)</w:t>
      </w:r>
      <w:r w:rsidRPr="004B27B7">
        <w:rPr>
          <w:rFonts w:ascii="Times New Roman" w:hAnsi="Times New Roman" w:cs="Times New Roman"/>
          <w:sz w:val="24"/>
          <w:szCs w:val="24"/>
        </w:rPr>
        <w:fldChar w:fldCharType="end"/>
      </w:r>
      <w:r w:rsidRPr="004B27B7">
        <w:rPr>
          <w:rFonts w:ascii="Times New Roman" w:hAnsi="Times New Roman" w:cs="Times New Roman"/>
          <w:sz w:val="24"/>
          <w:szCs w:val="24"/>
        </w:rPr>
        <w:t xml:space="preserve">. </w:t>
      </w:r>
      <w:r w:rsidRPr="00781445">
        <w:rPr>
          <w:rFonts w:ascii="Times New Roman" w:hAnsi="Times New Roman" w:cs="Times New Roman"/>
          <w:sz w:val="24"/>
          <w:szCs w:val="24"/>
        </w:rPr>
        <w:t>Profitabilitas berperan untuk mengukur sejauh mana kemampuan suatu perusahaan dalam meraih keuntungan. Rasio ini mencerminkan tingkat efektivitas manajemen perusahaan dalam menciptakan keuntungan</w:t>
      </w:r>
      <w:r w:rsidR="000846BD">
        <w:rPr>
          <w:rFonts w:ascii="Times New Roman" w:hAnsi="Times New Roman" w:cs="Times New Roman"/>
          <w:sz w:val="24"/>
          <w:szCs w:val="24"/>
        </w:rPr>
        <w:t xml:space="preserve"> </w:t>
      </w:r>
      <w:r w:rsidRPr="004B27B7">
        <w:rPr>
          <w:rFonts w:ascii="Times New Roman" w:hAnsi="Times New Roman" w:cs="Times New Roman"/>
          <w:sz w:val="24"/>
          <w:szCs w:val="24"/>
        </w:rPr>
        <w:fldChar w:fldCharType="begin" w:fldLock="1"/>
      </w:r>
      <w:r w:rsidRPr="004B27B7">
        <w:rPr>
          <w:rFonts w:ascii="Times New Roman" w:hAnsi="Times New Roman" w:cs="Times New Roman"/>
          <w:sz w:val="24"/>
          <w:szCs w:val="24"/>
        </w:rPr>
        <w:instrText>ADDIN CSL_CITATION {"citationItems":[{"id":"ITEM-1","itemData":{"DOI":"10.69714/jkaaej05","ISSN":"3047-2792","abstract":"This study aims to examine the effect of Green Accounting, Corporate Social Responsibility (CSR) and Company Size as moderating variables on Profitability. The research method used in this research is quantitative method. Data collection techniques are carried out by documentation techniques. The population used in this study is the Basic Materials Sector Company listed on the Indonesia Stock Exchange in 2023. The sampling technique used was purposive sampling with the final sample being 53 sample companies. Data obtained by collecting annual financial report data and sustainability reports of Basic Materials Sector Companies on the website of each company. The data analysis technique used is simple regression analysis and Moderated Regression Analysis (MRA) which has previously passed the classical assumption test and hypothesis testing using the help of SPSS software version 26 for windows. The results showed that Green Accounting and Corporate Social Responsibility (CSR) had no effect and were not significant to Profitability, and company size could not moderate the effect of Green Accounting on Profitability and company size could not moderate the effect of Corporate Social Responsibility (CSR) significantly on Profitability in basic materials companies.","author":[{"dropping-particle":"","family":"Talytha Anastasya","given":"","non-dropping-particle":"","parse-names":false,"suffix":""},{"dropping-particle":"","family":"Santi Susanti","given":"","non-dropping-particle":"","parse-names":false,"suffix":""},{"dropping-particle":"","family":"Ati Sumiati","given":"","non-dropping-particle":"","parse-names":false,"suffix":""}],"container-title":"Jurnal Ilmiah Manajemen dan Akuntansi","id":"ITEM-1","issue":"2","issued":{"date-parts":[["2025"]]},"page":"14-27","title":"Pengaruh Green Accounting Dan Corporate Social Responsibility Terhadap Profitabilitas Dengan Ukuran Perusahaan Sebagai Variabel Moderasi Pada Perusahaan Sektor Basic Materials Yang Terdaftar Di Bursa Efek Indonesia Tahun 2023","type":"article-journal","volume":"2"},"uris":["http://www.mendeley.com/documents/?uuid=432a6087-027e-4eb9-beb0-16e656df18a0"]}],"mendeley":{"formattedCitation":"(Talytha Anastasya et al., 2025)","plainTextFormattedCitation":"(Talytha Anastasya et al., 2025)","previouslyFormattedCitation":"(Talytha Anastasya et al., 2025)"},"properties":{"noteIndex":0},"schema":"https://github.com/citation-style-language/schema/raw/master/csl-citation.json"}</w:instrText>
      </w:r>
      <w:r w:rsidRPr="004B27B7">
        <w:rPr>
          <w:rFonts w:ascii="Times New Roman" w:hAnsi="Times New Roman" w:cs="Times New Roman"/>
          <w:sz w:val="24"/>
          <w:szCs w:val="24"/>
        </w:rPr>
        <w:fldChar w:fldCharType="separate"/>
      </w:r>
      <w:r w:rsidRPr="004B27B7">
        <w:rPr>
          <w:rFonts w:ascii="Times New Roman" w:hAnsi="Times New Roman" w:cs="Times New Roman"/>
          <w:noProof/>
          <w:sz w:val="24"/>
          <w:szCs w:val="24"/>
        </w:rPr>
        <w:t>(Talytha Anastasya et al., 2025)</w:t>
      </w:r>
      <w:r w:rsidRPr="004B27B7">
        <w:rPr>
          <w:rFonts w:ascii="Times New Roman" w:hAnsi="Times New Roman" w:cs="Times New Roman"/>
          <w:sz w:val="24"/>
          <w:szCs w:val="24"/>
        </w:rPr>
        <w:fldChar w:fldCharType="end"/>
      </w:r>
      <w:r w:rsidRPr="004B27B7">
        <w:rPr>
          <w:rFonts w:ascii="Times New Roman" w:hAnsi="Times New Roman" w:cs="Times New Roman"/>
          <w:sz w:val="24"/>
          <w:szCs w:val="24"/>
        </w:rPr>
        <w:t xml:space="preserve">. </w:t>
      </w:r>
      <w:r w:rsidR="007D6DA0" w:rsidRPr="007D6DA0">
        <w:rPr>
          <w:rFonts w:ascii="Times New Roman" w:hAnsi="Times New Roman" w:cs="Times New Roman"/>
          <w:sz w:val="24"/>
          <w:szCs w:val="24"/>
        </w:rPr>
        <w:t>Walaupun menghasilkan keuntungan itu krusial bagi perusahaan, mereka juga memiliki tanggung jawab untuk mempertimbangkan dan menangani masalah lingkungan, serta terus-menerus berpartisipasi dalam isu-isu tersebut, karena masalah ini berpengaruh besar terhadap operasional perusahaan</w:t>
      </w:r>
      <w:r w:rsidR="000846BD">
        <w:rPr>
          <w:rFonts w:ascii="Times New Roman" w:hAnsi="Times New Roman" w:cs="Times New Roman"/>
          <w:sz w:val="24"/>
          <w:szCs w:val="24"/>
        </w:rPr>
        <w:t xml:space="preserve"> </w:t>
      </w:r>
      <w:r w:rsidR="00CE6B67" w:rsidRPr="004B27B7">
        <w:rPr>
          <w:rFonts w:ascii="Times New Roman" w:hAnsi="Times New Roman" w:cs="Times New Roman"/>
          <w:sz w:val="24"/>
          <w:szCs w:val="24"/>
        </w:rPr>
        <w:fldChar w:fldCharType="begin" w:fldLock="1"/>
      </w:r>
      <w:r w:rsidR="00CE6B67" w:rsidRPr="004B27B7">
        <w:rPr>
          <w:rFonts w:ascii="Times New Roman" w:hAnsi="Times New Roman" w:cs="Times New Roman"/>
          <w:sz w:val="24"/>
          <w:szCs w:val="24"/>
        </w:rPr>
        <w:instrText>ADDIN CSL_CITATION {"citationItems":[{"id":"ITEM-1","itemData":{"author":[{"dropping-particle":"","family":"Aprilian","given":"Indri Nopianti","non-dropping-particle":"","parse-names":false,"suffix":""},{"dropping-particle":"","family":"Mulyadi","given":"Dedi","non-dropping-particle":"","parse-names":false,"suffix":""}],"id":"ITEM-1","issue":"1","issued":{"date-parts":[["2024"]]},"page":"1464-1477","title":"SEIKO : Journal of Management &amp; Business Pengaruh Penerapan Green Intellectual Capital Dan Social Responsibility Terhadap Profitabilitas Pada Perusahaan Manufaktur Yang Terdaftar di BEI ( Studi Pada Perusahaan","type":"article-journal","volume":"7"},"uris":["http://www.mendeley.com/documents/?uuid=ac0dea27-0926-4876-adaa-b53cc0415503"]}],"mendeley":{"formattedCitation":"(Aprilian &amp; Mulyadi, 2024)","plainTextFormattedCitation":"(Aprilian &amp; Mulyadi, 2024)","previouslyFormattedCitation":"(Aprilian &amp; Mulyadi, 2024)"},"properties":{"noteIndex":0},"schema":"https://github.com/citation-style-language/schema/raw/master/csl-citation.json"}</w:instrText>
      </w:r>
      <w:r w:rsidR="00CE6B67" w:rsidRPr="004B27B7">
        <w:rPr>
          <w:rFonts w:ascii="Times New Roman" w:hAnsi="Times New Roman" w:cs="Times New Roman"/>
          <w:sz w:val="24"/>
          <w:szCs w:val="24"/>
        </w:rPr>
        <w:fldChar w:fldCharType="separate"/>
      </w:r>
      <w:r w:rsidR="00CE6B67" w:rsidRPr="004B27B7">
        <w:rPr>
          <w:rFonts w:ascii="Times New Roman" w:hAnsi="Times New Roman" w:cs="Times New Roman"/>
          <w:noProof/>
          <w:sz w:val="24"/>
          <w:szCs w:val="24"/>
        </w:rPr>
        <w:t>(Aprilian &amp; Mulyadi, 2024)</w:t>
      </w:r>
      <w:r w:rsidR="00CE6B67" w:rsidRPr="004B27B7">
        <w:rPr>
          <w:rFonts w:ascii="Times New Roman" w:hAnsi="Times New Roman" w:cs="Times New Roman"/>
          <w:sz w:val="24"/>
          <w:szCs w:val="24"/>
        </w:rPr>
        <w:fldChar w:fldCharType="end"/>
      </w:r>
      <w:r w:rsidRPr="004B27B7">
        <w:rPr>
          <w:rFonts w:ascii="Times New Roman" w:hAnsi="Times New Roman" w:cs="Times New Roman"/>
          <w:sz w:val="24"/>
          <w:szCs w:val="24"/>
        </w:rPr>
        <w:t xml:space="preserve">. Semakin </w:t>
      </w:r>
      <w:r w:rsidR="007D6DA0">
        <w:rPr>
          <w:rFonts w:ascii="Times New Roman" w:hAnsi="Times New Roman" w:cs="Times New Roman"/>
          <w:sz w:val="24"/>
          <w:szCs w:val="24"/>
        </w:rPr>
        <w:t>tinggi</w:t>
      </w:r>
      <w:r w:rsidRPr="004B27B7">
        <w:rPr>
          <w:rFonts w:ascii="Times New Roman" w:hAnsi="Times New Roman" w:cs="Times New Roman"/>
          <w:sz w:val="24"/>
          <w:szCs w:val="24"/>
        </w:rPr>
        <w:t xml:space="preserve"> ROA, semakin ef</w:t>
      </w:r>
      <w:r w:rsidR="007D6DA0">
        <w:rPr>
          <w:rFonts w:ascii="Times New Roman" w:hAnsi="Times New Roman" w:cs="Times New Roman"/>
          <w:sz w:val="24"/>
          <w:szCs w:val="24"/>
        </w:rPr>
        <w:t>ektif</w:t>
      </w:r>
      <w:r w:rsidRPr="004B27B7">
        <w:rPr>
          <w:rFonts w:ascii="Times New Roman" w:hAnsi="Times New Roman" w:cs="Times New Roman"/>
          <w:sz w:val="24"/>
          <w:szCs w:val="24"/>
        </w:rPr>
        <w:t xml:space="preserve"> perusahaan dalam mengelola asetnya. </w:t>
      </w:r>
      <w:r w:rsidRPr="007D6DA0">
        <w:rPr>
          <w:rFonts w:ascii="Times New Roman" w:hAnsi="Times New Roman" w:cs="Times New Roman"/>
          <w:sz w:val="24"/>
          <w:szCs w:val="24"/>
        </w:rPr>
        <w:t>Profitabilitas</w:t>
      </w:r>
      <w:r w:rsidR="007D6DA0">
        <w:rPr>
          <w:rFonts w:ascii="Times New Roman" w:hAnsi="Times New Roman" w:cs="Times New Roman"/>
          <w:i/>
          <w:iCs/>
          <w:sz w:val="24"/>
          <w:szCs w:val="24"/>
        </w:rPr>
        <w:t xml:space="preserve"> </w:t>
      </w:r>
      <w:r w:rsidRPr="004B27B7">
        <w:rPr>
          <w:rFonts w:ascii="Times New Roman" w:hAnsi="Times New Roman" w:cs="Times New Roman"/>
          <w:sz w:val="24"/>
          <w:szCs w:val="24"/>
        </w:rPr>
        <w:t>menjadi</w:t>
      </w:r>
      <w:r w:rsidR="007D6DA0">
        <w:rPr>
          <w:rFonts w:ascii="Times New Roman" w:hAnsi="Times New Roman" w:cs="Times New Roman"/>
          <w:sz w:val="24"/>
          <w:szCs w:val="24"/>
        </w:rPr>
        <w:t xml:space="preserve"> salah satu</w:t>
      </w:r>
      <w:r w:rsidRPr="004B27B7">
        <w:rPr>
          <w:rFonts w:ascii="Times New Roman" w:hAnsi="Times New Roman" w:cs="Times New Roman"/>
          <w:sz w:val="24"/>
          <w:szCs w:val="24"/>
        </w:rPr>
        <w:t xml:space="preserve"> indikator utama bagi investor </w:t>
      </w:r>
      <w:r w:rsidR="007D6DA0">
        <w:rPr>
          <w:rFonts w:ascii="Times New Roman" w:hAnsi="Times New Roman" w:cs="Times New Roman"/>
          <w:sz w:val="24"/>
          <w:szCs w:val="24"/>
        </w:rPr>
        <w:t xml:space="preserve">untuk mengevaluasi kondisi </w:t>
      </w:r>
      <w:r w:rsidRPr="004B27B7">
        <w:rPr>
          <w:rFonts w:ascii="Times New Roman" w:hAnsi="Times New Roman" w:cs="Times New Roman"/>
          <w:sz w:val="24"/>
          <w:szCs w:val="24"/>
        </w:rPr>
        <w:t>keuangan perusahaan</w:t>
      </w:r>
      <w:r w:rsidR="000846BD">
        <w:rPr>
          <w:rFonts w:ascii="Times New Roman" w:hAnsi="Times New Roman" w:cs="Times New Roman"/>
          <w:sz w:val="24"/>
          <w:szCs w:val="24"/>
        </w:rPr>
        <w:t xml:space="preserve"> </w:t>
      </w:r>
      <w:r w:rsidRPr="004B27B7">
        <w:rPr>
          <w:rFonts w:ascii="Times New Roman" w:hAnsi="Times New Roman" w:cs="Times New Roman"/>
          <w:sz w:val="24"/>
          <w:szCs w:val="24"/>
        </w:rPr>
        <w:fldChar w:fldCharType="begin" w:fldLock="1"/>
      </w:r>
      <w:r w:rsidRPr="004B27B7">
        <w:rPr>
          <w:rFonts w:ascii="Times New Roman" w:hAnsi="Times New Roman" w:cs="Times New Roman"/>
          <w:sz w:val="24"/>
          <w:szCs w:val="24"/>
        </w:rPr>
        <w:instrText>ADDIN CSL_CITATION {"citationItems":[{"id":"ITEM-1","itemData":{"author":[{"dropping-particle":"","family":"Zulaeha","given":"Eha","non-dropping-particle":"","parse-names":false,"suffix":""},{"dropping-particle":"","family":"Mareta","given":"Sigit","non-dropping-particle":"","parse-names":false,"suffix":""},{"dropping-particle":"","family":"Santoso","given":"Natalia","non-dropping-particle":"","parse-names":false,"suffix":""}],"id":"ITEM-1","issue":"3","issued":{"date-parts":[["2025"]]},"page":"1499-1507","title":"Pengaruh Penerapan Green Accounting , Corporate Social Responsibility dan Good Corporate Governance terhadap Profitabilitas ( Studi pada Perusahaan Sektor Energi yang Terdaftar di BEI Periode 2019-2023 )","type":"article-journal","volume":"6"},"uris":["http://www.mendeley.com/documents/?uuid=9ca6dc6e-f8d4-4fe1-8e3c-8fc9121f807d"]}],"mendeley":{"formattedCitation":"(Zulaeha et al., 2025)","plainTextFormattedCitation":"(Zulaeha et al., 2025)","previouslyFormattedCitation":"(Zulaeha et al., 2025)"},"properties":{"noteIndex":0},"schema":"https://github.com/citation-style-language/schema/raw/master/csl-citation.json"}</w:instrText>
      </w:r>
      <w:r w:rsidRPr="004B27B7">
        <w:rPr>
          <w:rFonts w:ascii="Times New Roman" w:hAnsi="Times New Roman" w:cs="Times New Roman"/>
          <w:sz w:val="24"/>
          <w:szCs w:val="24"/>
        </w:rPr>
        <w:fldChar w:fldCharType="separate"/>
      </w:r>
      <w:r w:rsidRPr="004B27B7">
        <w:rPr>
          <w:rFonts w:ascii="Times New Roman" w:hAnsi="Times New Roman" w:cs="Times New Roman"/>
          <w:noProof/>
          <w:sz w:val="24"/>
          <w:szCs w:val="24"/>
        </w:rPr>
        <w:t>(Zulaeha et al., 2025)</w:t>
      </w:r>
      <w:r w:rsidRPr="004B27B7">
        <w:rPr>
          <w:rFonts w:ascii="Times New Roman" w:hAnsi="Times New Roman" w:cs="Times New Roman"/>
          <w:sz w:val="24"/>
          <w:szCs w:val="24"/>
        </w:rPr>
        <w:fldChar w:fldCharType="end"/>
      </w:r>
      <w:r w:rsidRPr="004B27B7">
        <w:rPr>
          <w:rFonts w:ascii="Times New Roman" w:hAnsi="Times New Roman" w:cs="Times New Roman"/>
          <w:sz w:val="24"/>
          <w:szCs w:val="24"/>
        </w:rPr>
        <w:t xml:space="preserve">. </w:t>
      </w:r>
    </w:p>
    <w:p w14:paraId="1549B3ED" w14:textId="77777777" w:rsidR="00323FF6" w:rsidRDefault="00000000" w:rsidP="00323FF6">
      <w:pPr>
        <w:spacing w:line="360" w:lineRule="auto"/>
        <w:jc w:val="both"/>
        <w:rPr>
          <w:rFonts w:ascii="Times New Roman" w:hAnsi="Times New Roman" w:cs="Times New Roman"/>
          <w:sz w:val="24"/>
          <w:szCs w:val="24"/>
        </w:rPr>
      </w:pPr>
      <w:r w:rsidRPr="004B27B7">
        <w:rPr>
          <w:rFonts w:ascii="Times New Roman" w:hAnsi="Times New Roman" w:cs="Times New Roman"/>
          <w:b/>
          <w:bCs/>
          <w:i/>
          <w:iCs/>
          <w:sz w:val="24"/>
          <w:szCs w:val="24"/>
        </w:rPr>
        <w:t xml:space="preserve">Green Accounting </w:t>
      </w:r>
    </w:p>
    <w:p w14:paraId="5CDA8AF1" w14:textId="0DB91932" w:rsidR="00323FF6" w:rsidRDefault="00000000" w:rsidP="003909BF">
      <w:pPr>
        <w:spacing w:line="360" w:lineRule="auto"/>
        <w:ind w:firstLine="720"/>
        <w:jc w:val="both"/>
        <w:rPr>
          <w:rFonts w:ascii="Times New Roman" w:hAnsi="Times New Roman" w:cs="Times New Roman"/>
          <w:sz w:val="24"/>
          <w:szCs w:val="24"/>
        </w:rPr>
      </w:pPr>
      <w:r w:rsidRPr="004B27B7">
        <w:rPr>
          <w:rFonts w:ascii="Times New Roman" w:hAnsi="Times New Roman" w:cs="Times New Roman"/>
          <w:sz w:val="24"/>
          <w:szCs w:val="24"/>
        </w:rPr>
        <w:t xml:space="preserve">Menurut Bell dan Lehman, </w:t>
      </w:r>
      <w:r w:rsidRPr="004B27B7">
        <w:rPr>
          <w:rFonts w:ascii="Times New Roman" w:hAnsi="Times New Roman" w:cs="Times New Roman"/>
          <w:i/>
          <w:iCs/>
          <w:sz w:val="24"/>
          <w:szCs w:val="24"/>
        </w:rPr>
        <w:t>green accounting</w:t>
      </w:r>
      <w:r w:rsidRPr="004B27B7">
        <w:rPr>
          <w:rFonts w:ascii="Times New Roman" w:hAnsi="Times New Roman" w:cs="Times New Roman"/>
          <w:sz w:val="24"/>
          <w:szCs w:val="24"/>
        </w:rPr>
        <w:t xml:space="preserve"> </w:t>
      </w:r>
      <w:r w:rsidR="00323FF6" w:rsidRPr="00323FF6">
        <w:rPr>
          <w:rFonts w:ascii="Times New Roman" w:hAnsi="Times New Roman" w:cs="Times New Roman"/>
          <w:sz w:val="24"/>
          <w:szCs w:val="24"/>
        </w:rPr>
        <w:t>dalah konsep akuntansi kontemporer yang mengidentifikasi, mengukur, mengevaluasi, dan mengungkapkan biaya yang berkaitan dengan aktivitas perusahaan terkait lingkungan</w:t>
      </w:r>
      <w:r w:rsidR="00177DFC">
        <w:rPr>
          <w:rFonts w:ascii="Times New Roman" w:hAnsi="Times New Roman" w:cs="Times New Roman"/>
          <w:sz w:val="24"/>
          <w:szCs w:val="24"/>
        </w:rPr>
        <w:t xml:space="preserve"> </w:t>
      </w:r>
      <w:r w:rsidRPr="004B27B7">
        <w:rPr>
          <w:rFonts w:ascii="Times New Roman" w:hAnsi="Times New Roman" w:cs="Times New Roman"/>
          <w:sz w:val="24"/>
          <w:szCs w:val="24"/>
        </w:rPr>
        <w:fldChar w:fldCharType="begin" w:fldLock="1"/>
      </w:r>
      <w:r w:rsidRPr="004B27B7">
        <w:rPr>
          <w:rFonts w:ascii="Times New Roman" w:hAnsi="Times New Roman" w:cs="Times New Roman"/>
          <w:sz w:val="24"/>
          <w:szCs w:val="24"/>
        </w:rPr>
        <w:instrText>ADDIN CSL_CITATION {"citationItems":[{"id":"ITEM-1","itemData":{"abstract":"The purpose of this study is to provide an overview regarding the practice of implementing green accounting, whether it has met the GRI standards and how the impact is felt by the community/environment around the company and to reveal in depth the meaning of Green Accounting according to PT Tunas Timber Lestari in South Papua. This study uses qualitative research methods using a phenomenological approach to understand phenomena comprehensively and in depth by emphasizing subjectivity and revealing the essence of experience through a combination of noema (objectivity) and noesis (subjectivity) of informants. Data collection techniques were carried out through interviews and direct observation of informants on company employees and the local community as well as document observation. The results of the study show that even though they do not use the GRI standards as the preparation of their sustainability reports related to green accounting reporting, the application and practice of green accounting in companies has the same goal and is considered in line with the objectives of the GRI. In addition, companies interpret green accounting as a tool to help companies continue to be able to improve performance in preserving the environment, which in turn helps companies improve company performance. The impact of implementing green accounting on society and the environment also seems to have had a positive impact, although there are some unscrupulous members of the public who think that they are still dissatisfied because the community's ego is still too high.","author":[{"dropping-particle":"","family":"Bela","given":"Kartyaningsih","non-dropping-particle":"","parse-names":false,"suffix":""},{"dropping-particle":"","family":"Said","given":"Darwis","non-dropping-particle":"","parse-names":false,"suffix":""},{"dropping-particle":"","family":"Rasyid","given":"Syarifuddin","non-dropping-particle":"","parse-names":false,"suffix":""}],"container-title":"Management Studies and Entrepreneurship Journal","id":"ITEM-1","issue":"3","issued":{"date-parts":[["2023"]]},"page":"3198-3205","title":"Green Accounting: Reality And Disclosure (Studies In The Forestry Industry In South Papua)","type":"article-journal","volume":"4"},"uris":["http://www.mendeley.com/documents/?uuid=72b680f7-9541-42ce-ac95-aec770d047ce"]}],"mendeley":{"formattedCitation":"(Bela et al., 2023)","plainTextFormattedCitation":"(Bela et al., 2023)","previouslyFormattedCitation":"(Bela et al., 2023)"},"properties":{"noteIndex":0},"schema":"https://github.com/citation-style-language/schema/raw/master/csl-citation.json"}</w:instrText>
      </w:r>
      <w:r w:rsidRPr="004B27B7">
        <w:rPr>
          <w:rFonts w:ascii="Times New Roman" w:hAnsi="Times New Roman" w:cs="Times New Roman"/>
          <w:sz w:val="24"/>
          <w:szCs w:val="24"/>
        </w:rPr>
        <w:fldChar w:fldCharType="separate"/>
      </w:r>
      <w:r w:rsidRPr="004B27B7">
        <w:rPr>
          <w:rFonts w:ascii="Times New Roman" w:hAnsi="Times New Roman" w:cs="Times New Roman"/>
          <w:noProof/>
          <w:sz w:val="24"/>
          <w:szCs w:val="24"/>
        </w:rPr>
        <w:t>(Bela et al., 2023)</w:t>
      </w:r>
      <w:r w:rsidRPr="004B27B7">
        <w:rPr>
          <w:rFonts w:ascii="Times New Roman" w:hAnsi="Times New Roman" w:cs="Times New Roman"/>
          <w:sz w:val="24"/>
          <w:szCs w:val="24"/>
        </w:rPr>
        <w:fldChar w:fldCharType="end"/>
      </w:r>
      <w:r w:rsidR="00323FF6">
        <w:rPr>
          <w:rFonts w:ascii="Times New Roman" w:hAnsi="Times New Roman" w:cs="Times New Roman"/>
          <w:sz w:val="24"/>
          <w:szCs w:val="24"/>
        </w:rPr>
        <w:t xml:space="preserve">. </w:t>
      </w:r>
      <w:r w:rsidRPr="004B27B7">
        <w:rPr>
          <w:rFonts w:ascii="Times New Roman" w:hAnsi="Times New Roman" w:cs="Times New Roman"/>
          <w:sz w:val="24"/>
          <w:szCs w:val="24"/>
        </w:rPr>
        <w:t xml:space="preserve">Definisi lain </w:t>
      </w:r>
      <w:r w:rsidR="00323FF6">
        <w:rPr>
          <w:rFonts w:ascii="Times New Roman" w:hAnsi="Times New Roman" w:cs="Times New Roman"/>
          <w:sz w:val="24"/>
          <w:szCs w:val="24"/>
        </w:rPr>
        <w:t>tentang</w:t>
      </w:r>
      <w:r w:rsidRPr="004B27B7">
        <w:rPr>
          <w:rFonts w:ascii="Times New Roman" w:hAnsi="Times New Roman" w:cs="Times New Roman"/>
          <w:sz w:val="24"/>
          <w:szCs w:val="24"/>
        </w:rPr>
        <w:t xml:space="preserve"> </w:t>
      </w:r>
      <w:r w:rsidRPr="004B27B7">
        <w:rPr>
          <w:rFonts w:ascii="Times New Roman" w:hAnsi="Times New Roman" w:cs="Times New Roman"/>
          <w:i/>
          <w:iCs/>
          <w:sz w:val="24"/>
          <w:szCs w:val="24"/>
        </w:rPr>
        <w:t>green accounting</w:t>
      </w:r>
      <w:r w:rsidRPr="004B27B7">
        <w:rPr>
          <w:rFonts w:ascii="Times New Roman" w:hAnsi="Times New Roman" w:cs="Times New Roman"/>
          <w:sz w:val="24"/>
          <w:szCs w:val="24"/>
        </w:rPr>
        <w:t xml:space="preserve"> juga di</w:t>
      </w:r>
      <w:r w:rsidR="00323FF6">
        <w:rPr>
          <w:rFonts w:ascii="Times New Roman" w:hAnsi="Times New Roman" w:cs="Times New Roman"/>
          <w:sz w:val="24"/>
          <w:szCs w:val="24"/>
        </w:rPr>
        <w:t>ajukan</w:t>
      </w:r>
      <w:r w:rsidRPr="004B27B7">
        <w:rPr>
          <w:rFonts w:ascii="Times New Roman" w:hAnsi="Times New Roman" w:cs="Times New Roman"/>
          <w:sz w:val="24"/>
          <w:szCs w:val="24"/>
        </w:rPr>
        <w:t xml:space="preserve"> oleh Kartikasari dalam Arintowati </w:t>
      </w:r>
      <w:r w:rsidR="00323FF6">
        <w:rPr>
          <w:rFonts w:ascii="Times New Roman" w:hAnsi="Times New Roman" w:cs="Times New Roman"/>
          <w:sz w:val="24"/>
          <w:szCs w:val="24"/>
        </w:rPr>
        <w:t xml:space="preserve">yang </w:t>
      </w:r>
      <w:r w:rsidRPr="004B27B7">
        <w:rPr>
          <w:rFonts w:ascii="Times New Roman" w:hAnsi="Times New Roman" w:cs="Times New Roman"/>
          <w:sz w:val="24"/>
          <w:szCs w:val="24"/>
        </w:rPr>
        <w:t xml:space="preserve">menyatakan bahwa </w:t>
      </w:r>
      <w:r w:rsidRPr="004B27B7">
        <w:rPr>
          <w:rFonts w:ascii="Times New Roman" w:hAnsi="Times New Roman" w:cs="Times New Roman"/>
          <w:i/>
          <w:iCs/>
          <w:sz w:val="24"/>
          <w:szCs w:val="24"/>
        </w:rPr>
        <w:t>green accounting</w:t>
      </w:r>
      <w:r w:rsidRPr="004B27B7">
        <w:rPr>
          <w:rFonts w:ascii="Times New Roman" w:hAnsi="Times New Roman" w:cs="Times New Roman"/>
          <w:sz w:val="24"/>
          <w:szCs w:val="24"/>
        </w:rPr>
        <w:t xml:space="preserve"> </w:t>
      </w:r>
      <w:r w:rsidR="00323FF6">
        <w:rPr>
          <w:rFonts w:ascii="Times New Roman" w:hAnsi="Times New Roman" w:cs="Times New Roman"/>
          <w:sz w:val="24"/>
          <w:szCs w:val="24"/>
        </w:rPr>
        <w:t>ialah</w:t>
      </w:r>
      <w:r w:rsidRPr="004B27B7">
        <w:rPr>
          <w:rFonts w:ascii="Times New Roman" w:hAnsi="Times New Roman" w:cs="Times New Roman"/>
          <w:sz w:val="24"/>
          <w:szCs w:val="24"/>
        </w:rPr>
        <w:t xml:space="preserve"> </w:t>
      </w:r>
      <w:r w:rsidR="00323FF6">
        <w:rPr>
          <w:rFonts w:ascii="Times New Roman" w:hAnsi="Times New Roman" w:cs="Times New Roman"/>
          <w:sz w:val="24"/>
          <w:szCs w:val="24"/>
        </w:rPr>
        <w:t xml:space="preserve">jenis </w:t>
      </w:r>
      <w:r w:rsidRPr="004B27B7">
        <w:rPr>
          <w:rFonts w:ascii="Times New Roman" w:hAnsi="Times New Roman" w:cs="Times New Roman"/>
          <w:sz w:val="24"/>
          <w:szCs w:val="24"/>
        </w:rPr>
        <w:t xml:space="preserve">akuntansi yang berupaya melibatkan </w:t>
      </w:r>
      <w:r w:rsidR="00323FF6">
        <w:rPr>
          <w:rFonts w:ascii="Times New Roman" w:hAnsi="Times New Roman" w:cs="Times New Roman"/>
          <w:sz w:val="24"/>
          <w:szCs w:val="24"/>
        </w:rPr>
        <w:t>elemen</w:t>
      </w:r>
      <w:r w:rsidRPr="004B27B7">
        <w:rPr>
          <w:rFonts w:ascii="Times New Roman" w:hAnsi="Times New Roman" w:cs="Times New Roman"/>
          <w:sz w:val="24"/>
          <w:szCs w:val="24"/>
        </w:rPr>
        <w:t xml:space="preserve"> biaya lingkungan ke dalam hasil keuangan </w:t>
      </w:r>
      <w:r w:rsidR="00323FF6">
        <w:rPr>
          <w:rFonts w:ascii="Times New Roman" w:hAnsi="Times New Roman" w:cs="Times New Roman"/>
          <w:sz w:val="24"/>
          <w:szCs w:val="24"/>
        </w:rPr>
        <w:t>perusahaan</w:t>
      </w:r>
      <w:r w:rsidR="00177DFC">
        <w:rPr>
          <w:rFonts w:ascii="Times New Roman" w:hAnsi="Times New Roman" w:cs="Times New Roman"/>
          <w:sz w:val="24"/>
          <w:szCs w:val="24"/>
        </w:rPr>
        <w:t xml:space="preserve"> </w:t>
      </w:r>
      <w:r w:rsidRPr="004B27B7">
        <w:rPr>
          <w:rFonts w:ascii="Times New Roman" w:hAnsi="Times New Roman" w:cs="Times New Roman"/>
          <w:sz w:val="24"/>
          <w:szCs w:val="24"/>
        </w:rPr>
        <w:fldChar w:fldCharType="begin" w:fldLock="1"/>
      </w:r>
      <w:r w:rsidRPr="004B27B7">
        <w:rPr>
          <w:rFonts w:ascii="Times New Roman" w:hAnsi="Times New Roman" w:cs="Times New Roman"/>
          <w:sz w:val="24"/>
          <w:szCs w:val="24"/>
        </w:rPr>
        <w:instrText>ADDIN CSL_CITATION {"citationItems":[{"id":"ITEM-1","itemData":{"abstract":"The main objective of this study was aimed to know the effectiveness of mind mapping in teaching descriptive text at the Eighth Grade Students of SMP Terbuka Kec.Senen in Academic Year of 2020/2021. The research was conducted in SMP Terbuka Kec. Senen. The population was the first year students of SMP Terbuka Kec. Senen in academic year of 2020/2021 with a total number of 70 students. Out of this population, students of eight grade were taken as sample.The writer used pre-experimental research with one group pre-test and post-test design in the quantitative. The data were collected by using pre-test and post-test. From the Lilliefors analysis showed that the data pre-test and post-test in Pre- experiment calss are normally distributed. Furthermore, the data post-test obtained were analyzed by using t-test formula. The t-test calculation of the post test result was known that was 8,35 and was 1,71. Therefore, tobserved &gt; ttable (8,35 &gt; 1,71). It showed that there is significant different score of students‘ achievement in writing descriptive text that was taught through mind mapping technique before and after given treatment. It can be concluded that using Mind Mapping technique was effective in writing descriptive paragraph of the eighth grade students at SMP Terbuka Kec. Senen The researcher also hopes that this research will be useful to share knowledge about the use of mind mapping for writing descriptive text, especially for students, teachers, others researchers and readers.","author":[{"dropping-particle":"","family":"Amalia","given":"Roudhatul","non-dropping-particle":"","parse-names":false,"suffix":""},{"dropping-particle":"","family":"Hafizi","given":"Muhammad Riza","non-dropping-particle":"","parse-names":false,"suffix":""},{"dropping-particle":"","family":"Mubarok","given":"Arif","non-dropping-particle":"","parse-names":false,"suffix":""}],"container-title":"Accounting Journal of Ibrahimy (AJI) e-ISSN","id":"ITEM-1","issue":"1","issued":{"date-parts":[["2024"]]},"page":"3026-6661","title":"Pengaruh Penerapan Green Accounting Dan Kinerja Lingkungan Terhadap Profitabilitas Pada Perusahaan Pertambangan Yang Terdaftar Di Bursa Efek Indonesia","type":"article-journal","volume":"2"},"uris":["http://www.mendeley.com/documents/?uuid=e7b7855c-fef8-4a1b-8c98-005f1856f5f1"]}],"mendeley":{"formattedCitation":"(Amalia et al., 2024)","plainTextFormattedCitation":"(Amalia et al., 2024)","previouslyFormattedCitation":"(Amalia et al., 2024)"},"properties":{"noteIndex":0},"schema":"https://github.com/citation-style-language/schema/raw/master/csl-citation.json"}</w:instrText>
      </w:r>
      <w:r w:rsidRPr="004B27B7">
        <w:rPr>
          <w:rFonts w:ascii="Times New Roman" w:hAnsi="Times New Roman" w:cs="Times New Roman"/>
          <w:sz w:val="24"/>
          <w:szCs w:val="24"/>
        </w:rPr>
        <w:fldChar w:fldCharType="separate"/>
      </w:r>
      <w:r w:rsidRPr="004B27B7">
        <w:rPr>
          <w:rFonts w:ascii="Times New Roman" w:hAnsi="Times New Roman" w:cs="Times New Roman"/>
          <w:noProof/>
          <w:sz w:val="24"/>
          <w:szCs w:val="24"/>
        </w:rPr>
        <w:t>(Amalia et al., 2024)</w:t>
      </w:r>
      <w:r w:rsidRPr="004B27B7">
        <w:rPr>
          <w:rFonts w:ascii="Times New Roman" w:hAnsi="Times New Roman" w:cs="Times New Roman"/>
          <w:sz w:val="24"/>
          <w:szCs w:val="24"/>
        </w:rPr>
        <w:fldChar w:fldCharType="end"/>
      </w:r>
      <w:r w:rsidRPr="004B27B7">
        <w:rPr>
          <w:rFonts w:ascii="Times New Roman" w:hAnsi="Times New Roman" w:cs="Times New Roman"/>
          <w:sz w:val="24"/>
          <w:szCs w:val="24"/>
        </w:rPr>
        <w:t xml:space="preserve">. </w:t>
      </w:r>
      <w:r w:rsidRPr="004B27B7">
        <w:rPr>
          <w:rFonts w:ascii="Times New Roman" w:hAnsi="Times New Roman" w:cs="Times New Roman"/>
          <w:i/>
          <w:iCs/>
          <w:sz w:val="24"/>
          <w:szCs w:val="24"/>
        </w:rPr>
        <w:t>Green Accounting</w:t>
      </w:r>
      <w:r w:rsidRPr="004B27B7">
        <w:rPr>
          <w:rFonts w:ascii="Times New Roman" w:hAnsi="Times New Roman" w:cs="Times New Roman"/>
          <w:sz w:val="24"/>
          <w:szCs w:val="24"/>
        </w:rPr>
        <w:t xml:space="preserve"> </w:t>
      </w:r>
      <w:r w:rsidR="00323FF6">
        <w:rPr>
          <w:rFonts w:ascii="Times New Roman" w:hAnsi="Times New Roman" w:cs="Times New Roman"/>
          <w:sz w:val="24"/>
          <w:szCs w:val="24"/>
        </w:rPr>
        <w:t>ialah</w:t>
      </w:r>
      <w:r w:rsidRPr="004B27B7">
        <w:rPr>
          <w:rFonts w:ascii="Times New Roman" w:hAnsi="Times New Roman" w:cs="Times New Roman"/>
          <w:sz w:val="24"/>
          <w:szCs w:val="24"/>
        </w:rPr>
        <w:t xml:space="preserve"> sebuah konsep yang diajukan </w:t>
      </w:r>
      <w:r w:rsidR="00323FF6">
        <w:rPr>
          <w:rFonts w:ascii="Times New Roman" w:hAnsi="Times New Roman" w:cs="Times New Roman"/>
          <w:sz w:val="24"/>
          <w:szCs w:val="24"/>
        </w:rPr>
        <w:t xml:space="preserve">sebagai respon terhadap </w:t>
      </w:r>
      <w:r w:rsidRPr="004B27B7">
        <w:rPr>
          <w:rFonts w:ascii="Times New Roman" w:hAnsi="Times New Roman" w:cs="Times New Roman"/>
          <w:sz w:val="24"/>
          <w:szCs w:val="24"/>
        </w:rPr>
        <w:t>kesadaran untuk m</w:t>
      </w:r>
      <w:r w:rsidR="00323FF6">
        <w:rPr>
          <w:rFonts w:ascii="Times New Roman" w:hAnsi="Times New Roman" w:cs="Times New Roman"/>
          <w:sz w:val="24"/>
          <w:szCs w:val="24"/>
        </w:rPr>
        <w:t>elindungi</w:t>
      </w:r>
      <w:r w:rsidRPr="004B27B7">
        <w:rPr>
          <w:rFonts w:ascii="Times New Roman" w:hAnsi="Times New Roman" w:cs="Times New Roman"/>
          <w:sz w:val="24"/>
          <w:szCs w:val="24"/>
        </w:rPr>
        <w:t xml:space="preserve"> lingkungan</w:t>
      </w:r>
      <w:r w:rsidR="00323FF6">
        <w:rPr>
          <w:rFonts w:ascii="Times New Roman" w:hAnsi="Times New Roman" w:cs="Times New Roman"/>
          <w:sz w:val="24"/>
          <w:szCs w:val="24"/>
        </w:rPr>
        <w:t xml:space="preserve"> di </w:t>
      </w:r>
      <w:r w:rsidRPr="004B27B7">
        <w:rPr>
          <w:rFonts w:ascii="Times New Roman" w:hAnsi="Times New Roman" w:cs="Times New Roman"/>
          <w:sz w:val="24"/>
          <w:szCs w:val="24"/>
        </w:rPr>
        <w:t>sekitar</w:t>
      </w:r>
      <w:r w:rsidR="00323FF6">
        <w:rPr>
          <w:rFonts w:ascii="Times New Roman" w:hAnsi="Times New Roman" w:cs="Times New Roman"/>
          <w:sz w:val="24"/>
          <w:szCs w:val="24"/>
        </w:rPr>
        <w:t xml:space="preserve"> area</w:t>
      </w:r>
      <w:r w:rsidRPr="004B27B7">
        <w:rPr>
          <w:rFonts w:ascii="Times New Roman" w:hAnsi="Times New Roman" w:cs="Times New Roman"/>
          <w:sz w:val="24"/>
          <w:szCs w:val="24"/>
        </w:rPr>
        <w:t xml:space="preserve"> lokasi produksi</w:t>
      </w:r>
      <w:r w:rsidR="00323FF6">
        <w:rPr>
          <w:rFonts w:ascii="Times New Roman" w:hAnsi="Times New Roman" w:cs="Times New Roman"/>
          <w:sz w:val="24"/>
          <w:szCs w:val="24"/>
        </w:rPr>
        <w:t xml:space="preserve"> y</w:t>
      </w:r>
      <w:r w:rsidRPr="004B27B7">
        <w:rPr>
          <w:rFonts w:ascii="Times New Roman" w:hAnsi="Times New Roman" w:cs="Times New Roman"/>
          <w:sz w:val="24"/>
          <w:szCs w:val="24"/>
        </w:rPr>
        <w:t xml:space="preserve">ang terdampak </w:t>
      </w:r>
      <w:r w:rsidR="00323FF6">
        <w:rPr>
          <w:rFonts w:ascii="Times New Roman" w:hAnsi="Times New Roman" w:cs="Times New Roman"/>
          <w:sz w:val="24"/>
          <w:szCs w:val="24"/>
        </w:rPr>
        <w:t xml:space="preserve">secara </w:t>
      </w:r>
      <w:r w:rsidRPr="004B27B7">
        <w:rPr>
          <w:rFonts w:ascii="Times New Roman" w:hAnsi="Times New Roman" w:cs="Times New Roman"/>
          <w:sz w:val="24"/>
          <w:szCs w:val="24"/>
        </w:rPr>
        <w:t xml:space="preserve">langsung </w:t>
      </w:r>
      <w:r w:rsidR="00323FF6">
        <w:rPr>
          <w:rFonts w:ascii="Times New Roman" w:hAnsi="Times New Roman" w:cs="Times New Roman"/>
          <w:sz w:val="24"/>
          <w:szCs w:val="24"/>
        </w:rPr>
        <w:t>maupun</w:t>
      </w:r>
      <w:r w:rsidRPr="004B27B7">
        <w:rPr>
          <w:rFonts w:ascii="Times New Roman" w:hAnsi="Times New Roman" w:cs="Times New Roman"/>
          <w:sz w:val="24"/>
          <w:szCs w:val="24"/>
        </w:rPr>
        <w:t xml:space="preserve"> tidak langsung. Konsep </w:t>
      </w:r>
      <w:r w:rsidR="00323FF6" w:rsidRPr="00323FF6">
        <w:rPr>
          <w:rFonts w:ascii="Times New Roman" w:hAnsi="Times New Roman" w:cs="Times New Roman"/>
          <w:i/>
          <w:iCs/>
          <w:sz w:val="24"/>
          <w:szCs w:val="24"/>
        </w:rPr>
        <w:t>green accounting</w:t>
      </w:r>
      <w:r w:rsidR="00323FF6">
        <w:rPr>
          <w:rFonts w:ascii="Times New Roman" w:hAnsi="Times New Roman" w:cs="Times New Roman"/>
          <w:sz w:val="24"/>
          <w:szCs w:val="24"/>
        </w:rPr>
        <w:t xml:space="preserve"> </w:t>
      </w:r>
      <w:r w:rsidR="00323FF6">
        <w:rPr>
          <w:rFonts w:ascii="Times New Roman" w:hAnsi="Times New Roman" w:cs="Times New Roman"/>
          <w:sz w:val="24"/>
          <w:szCs w:val="24"/>
        </w:rPr>
        <w:lastRenderedPageBreak/>
        <w:t>mencakup</w:t>
      </w:r>
      <w:r w:rsidRPr="004B27B7">
        <w:rPr>
          <w:rFonts w:ascii="Times New Roman" w:hAnsi="Times New Roman" w:cs="Times New Roman"/>
          <w:sz w:val="24"/>
          <w:szCs w:val="24"/>
        </w:rPr>
        <w:t xml:space="preserve"> pembebanan atau </w:t>
      </w:r>
      <w:r w:rsidR="00323FF6">
        <w:rPr>
          <w:rFonts w:ascii="Times New Roman" w:hAnsi="Times New Roman" w:cs="Times New Roman"/>
          <w:sz w:val="24"/>
          <w:szCs w:val="24"/>
        </w:rPr>
        <w:t>distribusi</w:t>
      </w:r>
      <w:r w:rsidRPr="004B27B7">
        <w:rPr>
          <w:rFonts w:ascii="Times New Roman" w:hAnsi="Times New Roman" w:cs="Times New Roman"/>
          <w:sz w:val="24"/>
          <w:szCs w:val="24"/>
        </w:rPr>
        <w:t xml:space="preserve"> berbagai biaya, seperti biaya perlindungan lingkungan dan </w:t>
      </w:r>
      <w:r w:rsidR="00323FF6">
        <w:rPr>
          <w:rFonts w:ascii="Times New Roman" w:hAnsi="Times New Roman" w:cs="Times New Roman"/>
          <w:sz w:val="24"/>
          <w:szCs w:val="24"/>
        </w:rPr>
        <w:t>aktivias</w:t>
      </w:r>
      <w:r w:rsidRPr="004B27B7">
        <w:rPr>
          <w:rFonts w:ascii="Times New Roman" w:hAnsi="Times New Roman" w:cs="Times New Roman"/>
          <w:sz w:val="24"/>
          <w:szCs w:val="24"/>
        </w:rPr>
        <w:t xml:space="preserve"> pemberdayaan sosial masyarakat dalam laporan keuangan</w:t>
      </w:r>
      <w:r w:rsidR="00177DFC">
        <w:rPr>
          <w:rFonts w:ascii="Times New Roman" w:hAnsi="Times New Roman" w:cs="Times New Roman"/>
          <w:sz w:val="24"/>
          <w:szCs w:val="24"/>
        </w:rPr>
        <w:t xml:space="preserve"> </w:t>
      </w:r>
      <w:r w:rsidRPr="004B27B7">
        <w:rPr>
          <w:rFonts w:ascii="Times New Roman" w:hAnsi="Times New Roman" w:cs="Times New Roman"/>
          <w:sz w:val="24"/>
          <w:szCs w:val="24"/>
        </w:rPr>
        <w:fldChar w:fldCharType="begin" w:fldLock="1"/>
      </w:r>
      <w:r w:rsidRPr="004B27B7">
        <w:rPr>
          <w:rFonts w:ascii="Times New Roman" w:hAnsi="Times New Roman" w:cs="Times New Roman"/>
          <w:sz w:val="24"/>
          <w:szCs w:val="24"/>
        </w:rPr>
        <w:instrText>ADDIN CSL_CITATION {"citationItems":[{"id":"ITEM-1","itemData":{"abstract":"Green Accounting is a corporate disclosure with the aim of transparency of corporate responsibility for environmental sustainability. The purpose of this study is to prove if there is a relationship between green accounting disclosures and profitability. This study uses a research method in the form of a literature review with data on mining companies listed on the IDX for the 2019-2021 period. The results of this study indicate that there is no significant relationship between Green Accounting disclosures and the level of company profitability.","author":[{"dropping-particle":"","family":"Poeja Pramudianti","given":"","non-dropping-particle":"","parse-names":false,"suffix":""}],"id":"ITEM-1","issue":"2","issued":{"date-parts":[["2023"]]},"page":"243-253","title":"Pengaruh Pengungkapan Akuntansi Hijau (Green Accounting) Terhadap Profitabilitas Pada Perusahaan Sektor Pertambangan Yang Terdaftar Di Bursa Efek Indonesia Tahun 2019 – 2021 (Studi Konseptual)","type":"article-journal","volume":"4"},"uris":["http://www.mendeley.com/documents/?uuid=2414db9e-4bb4-494e-9373-9463639248b3"]}],"mendeley":{"formattedCitation":"(Poeja Pramudianti, 2023)","plainTextFormattedCitation":"(Poeja Pramudianti, 2023)","previouslyFormattedCitation":"(Poeja Pramudianti, 2023)"},"properties":{"noteIndex":0},"schema":"https://github.com/citation-style-language/schema/raw/master/csl-citation.json"}</w:instrText>
      </w:r>
      <w:r w:rsidRPr="004B27B7">
        <w:rPr>
          <w:rFonts w:ascii="Times New Roman" w:hAnsi="Times New Roman" w:cs="Times New Roman"/>
          <w:sz w:val="24"/>
          <w:szCs w:val="24"/>
        </w:rPr>
        <w:fldChar w:fldCharType="separate"/>
      </w:r>
      <w:r w:rsidRPr="004B27B7">
        <w:rPr>
          <w:rFonts w:ascii="Times New Roman" w:hAnsi="Times New Roman" w:cs="Times New Roman"/>
          <w:noProof/>
          <w:sz w:val="24"/>
          <w:szCs w:val="24"/>
        </w:rPr>
        <w:t>(Poeja Pramudianti, 2023)</w:t>
      </w:r>
      <w:r w:rsidRPr="004B27B7">
        <w:rPr>
          <w:rFonts w:ascii="Times New Roman" w:hAnsi="Times New Roman" w:cs="Times New Roman"/>
          <w:sz w:val="24"/>
          <w:szCs w:val="24"/>
        </w:rPr>
        <w:fldChar w:fldCharType="end"/>
      </w:r>
      <w:r w:rsidRPr="004B27B7">
        <w:rPr>
          <w:rFonts w:ascii="Times New Roman" w:hAnsi="Times New Roman" w:cs="Times New Roman"/>
          <w:sz w:val="24"/>
          <w:szCs w:val="24"/>
        </w:rPr>
        <w:t>.</w:t>
      </w:r>
    </w:p>
    <w:p w14:paraId="514C2109" w14:textId="0F521BE2" w:rsidR="00323FF6" w:rsidRDefault="00000000" w:rsidP="003909BF">
      <w:pPr>
        <w:spacing w:line="360" w:lineRule="auto"/>
        <w:ind w:firstLine="720"/>
        <w:jc w:val="both"/>
        <w:rPr>
          <w:rFonts w:ascii="Times New Roman" w:hAnsi="Times New Roman" w:cs="Times New Roman"/>
          <w:sz w:val="24"/>
          <w:szCs w:val="24"/>
        </w:rPr>
      </w:pPr>
      <w:r w:rsidRPr="004B27B7">
        <w:rPr>
          <w:rFonts w:ascii="Times New Roman" w:hAnsi="Times New Roman" w:cs="Times New Roman"/>
          <w:i/>
          <w:iCs/>
          <w:sz w:val="24"/>
          <w:szCs w:val="24"/>
        </w:rPr>
        <w:t>Green accounting</w:t>
      </w:r>
      <w:r w:rsidRPr="004B27B7">
        <w:rPr>
          <w:rFonts w:ascii="Times New Roman" w:hAnsi="Times New Roman" w:cs="Times New Roman"/>
          <w:sz w:val="24"/>
          <w:szCs w:val="24"/>
        </w:rPr>
        <w:t xml:space="preserve"> </w:t>
      </w:r>
      <w:r w:rsidR="00323FF6">
        <w:rPr>
          <w:rFonts w:ascii="Times New Roman" w:hAnsi="Times New Roman" w:cs="Times New Roman"/>
          <w:sz w:val="24"/>
          <w:szCs w:val="24"/>
        </w:rPr>
        <w:t>terbagi</w:t>
      </w:r>
      <w:r w:rsidRPr="004B27B7">
        <w:rPr>
          <w:rFonts w:ascii="Times New Roman" w:hAnsi="Times New Roman" w:cs="Times New Roman"/>
          <w:sz w:val="24"/>
          <w:szCs w:val="24"/>
        </w:rPr>
        <w:t xml:space="preserve"> menjadi empat </w:t>
      </w:r>
      <w:r w:rsidR="00323FF6">
        <w:rPr>
          <w:rFonts w:ascii="Times New Roman" w:hAnsi="Times New Roman" w:cs="Times New Roman"/>
          <w:sz w:val="24"/>
          <w:szCs w:val="24"/>
        </w:rPr>
        <w:t>kategori</w:t>
      </w:r>
      <w:r w:rsidRPr="004B27B7">
        <w:rPr>
          <w:rFonts w:ascii="Times New Roman" w:hAnsi="Times New Roman" w:cs="Times New Roman"/>
          <w:sz w:val="24"/>
          <w:szCs w:val="24"/>
        </w:rPr>
        <w:t>, yaitu:</w:t>
      </w:r>
      <w:r w:rsidR="000A3C1F">
        <w:rPr>
          <w:rFonts w:ascii="Times New Roman" w:hAnsi="Times New Roman" w:cs="Times New Roman"/>
          <w:sz w:val="24"/>
          <w:szCs w:val="24"/>
        </w:rPr>
        <w:t xml:space="preserve"> </w:t>
      </w:r>
      <w:r w:rsidRPr="004B27B7">
        <w:rPr>
          <w:rFonts w:ascii="Times New Roman" w:hAnsi="Times New Roman" w:cs="Times New Roman"/>
          <w:sz w:val="24"/>
          <w:szCs w:val="24"/>
        </w:rPr>
        <w:t>1) Biaya pencegahan lingkungan</w:t>
      </w:r>
      <w:r w:rsidR="00177DFC">
        <w:rPr>
          <w:rFonts w:ascii="Times New Roman" w:hAnsi="Times New Roman" w:cs="Times New Roman"/>
          <w:sz w:val="24"/>
          <w:szCs w:val="24"/>
        </w:rPr>
        <w:t xml:space="preserve"> </w:t>
      </w:r>
      <w:r w:rsidRPr="004B27B7">
        <w:rPr>
          <w:rFonts w:ascii="Times New Roman" w:hAnsi="Times New Roman" w:cs="Times New Roman"/>
          <w:i/>
          <w:iCs/>
          <w:sz w:val="24"/>
          <w:szCs w:val="24"/>
        </w:rPr>
        <w:t>(environmental prevention cost)</w:t>
      </w:r>
      <w:r w:rsidRPr="004B27B7">
        <w:rPr>
          <w:rFonts w:ascii="Times New Roman" w:hAnsi="Times New Roman" w:cs="Times New Roman"/>
          <w:sz w:val="24"/>
          <w:szCs w:val="24"/>
        </w:rPr>
        <w:t xml:space="preserve">, yaitu biaya </w:t>
      </w:r>
      <w:r w:rsidR="00323FF6">
        <w:rPr>
          <w:rFonts w:ascii="Times New Roman" w:hAnsi="Times New Roman" w:cs="Times New Roman"/>
          <w:sz w:val="24"/>
          <w:szCs w:val="24"/>
        </w:rPr>
        <w:t>dari kegiatan</w:t>
      </w:r>
      <w:r w:rsidRPr="004B27B7">
        <w:rPr>
          <w:rFonts w:ascii="Times New Roman" w:hAnsi="Times New Roman" w:cs="Times New Roman"/>
          <w:sz w:val="24"/>
          <w:szCs w:val="24"/>
        </w:rPr>
        <w:t xml:space="preserve"> yang dilakukan untuk mencegah </w:t>
      </w:r>
      <w:r w:rsidR="000A3C1F">
        <w:rPr>
          <w:rFonts w:ascii="Times New Roman" w:hAnsi="Times New Roman" w:cs="Times New Roman"/>
          <w:sz w:val="24"/>
          <w:szCs w:val="24"/>
        </w:rPr>
        <w:t xml:space="preserve">timbulnya </w:t>
      </w:r>
      <w:r w:rsidRPr="004B27B7">
        <w:rPr>
          <w:rFonts w:ascii="Times New Roman" w:hAnsi="Times New Roman" w:cs="Times New Roman"/>
          <w:sz w:val="24"/>
          <w:szCs w:val="24"/>
        </w:rPr>
        <w:t xml:space="preserve">limbah atau kotoran yang </w:t>
      </w:r>
      <w:r w:rsidR="000A3C1F">
        <w:rPr>
          <w:rFonts w:ascii="Times New Roman" w:hAnsi="Times New Roman" w:cs="Times New Roman"/>
          <w:sz w:val="24"/>
          <w:szCs w:val="24"/>
        </w:rPr>
        <w:t xml:space="preserve">dapat </w:t>
      </w:r>
      <w:r w:rsidRPr="004B27B7">
        <w:rPr>
          <w:rFonts w:ascii="Times New Roman" w:hAnsi="Times New Roman" w:cs="Times New Roman"/>
          <w:sz w:val="24"/>
          <w:szCs w:val="24"/>
        </w:rPr>
        <w:t>menyebabkan kerusakan lingkungan. 2) Biaya deteksi lingkungan</w:t>
      </w:r>
      <w:r w:rsidR="00177DFC">
        <w:rPr>
          <w:rFonts w:ascii="Times New Roman" w:hAnsi="Times New Roman" w:cs="Times New Roman"/>
          <w:sz w:val="24"/>
          <w:szCs w:val="24"/>
        </w:rPr>
        <w:t xml:space="preserve"> </w:t>
      </w:r>
      <w:r w:rsidRPr="004B27B7">
        <w:rPr>
          <w:rFonts w:ascii="Times New Roman" w:hAnsi="Times New Roman" w:cs="Times New Roman"/>
          <w:i/>
          <w:iCs/>
          <w:sz w:val="24"/>
          <w:szCs w:val="24"/>
        </w:rPr>
        <w:t>(environmental detection cost)</w:t>
      </w:r>
      <w:r w:rsidRPr="004B27B7">
        <w:rPr>
          <w:rFonts w:ascii="Times New Roman" w:hAnsi="Times New Roman" w:cs="Times New Roman"/>
          <w:sz w:val="24"/>
          <w:szCs w:val="24"/>
        </w:rPr>
        <w:t>, yaitu biaya aktivitas yang di</w:t>
      </w:r>
      <w:r w:rsidR="000A3C1F">
        <w:rPr>
          <w:rFonts w:ascii="Times New Roman" w:hAnsi="Times New Roman" w:cs="Times New Roman"/>
          <w:sz w:val="24"/>
          <w:szCs w:val="24"/>
        </w:rPr>
        <w:t xml:space="preserve">keluarkan </w:t>
      </w:r>
      <w:r w:rsidRPr="004B27B7">
        <w:rPr>
          <w:rFonts w:ascii="Times New Roman" w:hAnsi="Times New Roman" w:cs="Times New Roman"/>
          <w:sz w:val="24"/>
          <w:szCs w:val="24"/>
        </w:rPr>
        <w:t>untuk men</w:t>
      </w:r>
      <w:r w:rsidR="000A3C1F">
        <w:rPr>
          <w:rFonts w:ascii="Times New Roman" w:hAnsi="Times New Roman" w:cs="Times New Roman"/>
          <w:sz w:val="24"/>
          <w:szCs w:val="24"/>
        </w:rPr>
        <w:t>gevaluasi</w:t>
      </w:r>
      <w:r w:rsidRPr="004B27B7">
        <w:rPr>
          <w:rFonts w:ascii="Times New Roman" w:hAnsi="Times New Roman" w:cs="Times New Roman"/>
          <w:sz w:val="24"/>
          <w:szCs w:val="24"/>
        </w:rPr>
        <w:t xml:space="preserve"> apakah produk, proses, dan aktivitas lai</w:t>
      </w:r>
      <w:r w:rsidR="000A3C1F">
        <w:rPr>
          <w:rFonts w:ascii="Times New Roman" w:hAnsi="Times New Roman" w:cs="Times New Roman"/>
          <w:sz w:val="24"/>
          <w:szCs w:val="24"/>
        </w:rPr>
        <w:t>n</w:t>
      </w:r>
      <w:r w:rsidRPr="004B27B7">
        <w:rPr>
          <w:rFonts w:ascii="Times New Roman" w:hAnsi="Times New Roman" w:cs="Times New Roman"/>
          <w:sz w:val="24"/>
          <w:szCs w:val="24"/>
        </w:rPr>
        <w:t xml:space="preserve"> telah memenuhi standar lingkungan yang </w:t>
      </w:r>
      <w:r w:rsidR="000A3C1F">
        <w:rPr>
          <w:rFonts w:ascii="Times New Roman" w:hAnsi="Times New Roman" w:cs="Times New Roman"/>
          <w:sz w:val="24"/>
          <w:szCs w:val="24"/>
        </w:rPr>
        <w:t>relevan</w:t>
      </w:r>
      <w:r w:rsidRPr="004B27B7">
        <w:rPr>
          <w:rFonts w:ascii="Times New Roman" w:hAnsi="Times New Roman" w:cs="Times New Roman"/>
          <w:sz w:val="24"/>
          <w:szCs w:val="24"/>
        </w:rPr>
        <w:t>. 3) Biaya kegagalan internal lingkungan</w:t>
      </w:r>
      <w:r w:rsidR="00177DFC">
        <w:rPr>
          <w:rFonts w:ascii="Times New Roman" w:hAnsi="Times New Roman" w:cs="Times New Roman"/>
          <w:sz w:val="24"/>
          <w:szCs w:val="24"/>
        </w:rPr>
        <w:t xml:space="preserve"> </w:t>
      </w:r>
      <w:r w:rsidRPr="004B27B7">
        <w:rPr>
          <w:rFonts w:ascii="Times New Roman" w:hAnsi="Times New Roman" w:cs="Times New Roman"/>
          <w:i/>
          <w:iCs/>
          <w:sz w:val="24"/>
          <w:szCs w:val="24"/>
        </w:rPr>
        <w:t>(environmental internal failure cost)</w:t>
      </w:r>
      <w:r w:rsidRPr="004B27B7">
        <w:rPr>
          <w:rFonts w:ascii="Times New Roman" w:hAnsi="Times New Roman" w:cs="Times New Roman"/>
          <w:sz w:val="24"/>
          <w:szCs w:val="24"/>
        </w:rPr>
        <w:t xml:space="preserve">, yaitu biaya yang </w:t>
      </w:r>
      <w:r w:rsidR="000A3C1F">
        <w:rPr>
          <w:rFonts w:ascii="Times New Roman" w:hAnsi="Times New Roman" w:cs="Times New Roman"/>
          <w:sz w:val="24"/>
          <w:szCs w:val="24"/>
        </w:rPr>
        <w:t>timbul</w:t>
      </w:r>
      <w:r w:rsidRPr="004B27B7">
        <w:rPr>
          <w:rFonts w:ascii="Times New Roman" w:hAnsi="Times New Roman" w:cs="Times New Roman"/>
          <w:sz w:val="24"/>
          <w:szCs w:val="24"/>
        </w:rPr>
        <w:t xml:space="preserve"> </w:t>
      </w:r>
      <w:r w:rsidR="000A3C1F">
        <w:rPr>
          <w:rFonts w:ascii="Times New Roman" w:hAnsi="Times New Roman" w:cs="Times New Roman"/>
          <w:sz w:val="24"/>
          <w:szCs w:val="24"/>
        </w:rPr>
        <w:t>dari aktivitas yang</w:t>
      </w:r>
      <w:r w:rsidRPr="004B27B7">
        <w:rPr>
          <w:rFonts w:ascii="Times New Roman" w:hAnsi="Times New Roman" w:cs="Times New Roman"/>
          <w:sz w:val="24"/>
          <w:szCs w:val="24"/>
        </w:rPr>
        <w:t xml:space="preserve"> di</w:t>
      </w:r>
      <w:r w:rsidR="000A3C1F">
        <w:rPr>
          <w:rFonts w:ascii="Times New Roman" w:hAnsi="Times New Roman" w:cs="Times New Roman"/>
          <w:sz w:val="24"/>
          <w:szCs w:val="24"/>
        </w:rPr>
        <w:t>lalukan akibat adanya</w:t>
      </w:r>
      <w:r w:rsidRPr="004B27B7">
        <w:rPr>
          <w:rFonts w:ascii="Times New Roman" w:hAnsi="Times New Roman" w:cs="Times New Roman"/>
          <w:sz w:val="24"/>
          <w:szCs w:val="24"/>
        </w:rPr>
        <w:t xml:space="preserve"> limbah</w:t>
      </w:r>
      <w:r w:rsidR="000A3C1F">
        <w:rPr>
          <w:rFonts w:ascii="Times New Roman" w:hAnsi="Times New Roman" w:cs="Times New Roman"/>
          <w:sz w:val="24"/>
          <w:szCs w:val="24"/>
        </w:rPr>
        <w:t xml:space="preserve"> yang dihasilkan</w:t>
      </w:r>
      <w:r w:rsidRPr="004B27B7">
        <w:rPr>
          <w:rFonts w:ascii="Times New Roman" w:hAnsi="Times New Roman" w:cs="Times New Roman"/>
          <w:sz w:val="24"/>
          <w:szCs w:val="24"/>
        </w:rPr>
        <w:t>, tetapi tidak dibuang ke lingkungan sekitar perusahaan. 4) Biaya kegagalan eksternal lingkungan</w:t>
      </w:r>
      <w:r w:rsidR="004B27B7">
        <w:rPr>
          <w:rFonts w:ascii="Times New Roman" w:hAnsi="Times New Roman" w:cs="Times New Roman"/>
          <w:sz w:val="24"/>
          <w:szCs w:val="24"/>
        </w:rPr>
        <w:t xml:space="preserve"> </w:t>
      </w:r>
      <w:r w:rsidRPr="004B27B7">
        <w:rPr>
          <w:rFonts w:ascii="Times New Roman" w:hAnsi="Times New Roman" w:cs="Times New Roman"/>
          <w:i/>
          <w:iCs/>
          <w:sz w:val="24"/>
          <w:szCs w:val="24"/>
        </w:rPr>
        <w:t>(environmental eksternal failure cost)</w:t>
      </w:r>
      <w:r w:rsidRPr="004B27B7">
        <w:rPr>
          <w:rFonts w:ascii="Times New Roman" w:hAnsi="Times New Roman" w:cs="Times New Roman"/>
          <w:sz w:val="24"/>
          <w:szCs w:val="24"/>
        </w:rPr>
        <w:t xml:space="preserve">, yaitu biaya yang </w:t>
      </w:r>
      <w:r w:rsidR="000A3C1F">
        <w:rPr>
          <w:rFonts w:ascii="Times New Roman" w:hAnsi="Times New Roman" w:cs="Times New Roman"/>
          <w:sz w:val="24"/>
          <w:szCs w:val="24"/>
        </w:rPr>
        <w:t xml:space="preserve">timbul </w:t>
      </w:r>
      <w:r w:rsidRPr="004B27B7">
        <w:rPr>
          <w:rFonts w:ascii="Times New Roman" w:hAnsi="Times New Roman" w:cs="Times New Roman"/>
          <w:sz w:val="24"/>
          <w:szCs w:val="24"/>
        </w:rPr>
        <w:t>d</w:t>
      </w:r>
      <w:r w:rsidR="000A3C1F">
        <w:rPr>
          <w:rFonts w:ascii="Times New Roman" w:hAnsi="Times New Roman" w:cs="Times New Roman"/>
          <w:sz w:val="24"/>
          <w:szCs w:val="24"/>
        </w:rPr>
        <w:t xml:space="preserve">ari aktivitas </w:t>
      </w:r>
      <w:r w:rsidRPr="004B27B7">
        <w:rPr>
          <w:rFonts w:ascii="Times New Roman" w:hAnsi="Times New Roman" w:cs="Times New Roman"/>
          <w:sz w:val="24"/>
          <w:szCs w:val="24"/>
        </w:rPr>
        <w:t xml:space="preserve">setelah limbah dibuang ke lingkungan </w:t>
      </w:r>
      <w:r w:rsidR="000A3C1F">
        <w:rPr>
          <w:rFonts w:ascii="Times New Roman" w:hAnsi="Times New Roman" w:cs="Times New Roman"/>
          <w:sz w:val="24"/>
          <w:szCs w:val="24"/>
        </w:rPr>
        <w:t xml:space="preserve">di </w:t>
      </w:r>
      <w:r w:rsidRPr="004B27B7">
        <w:rPr>
          <w:rFonts w:ascii="Times New Roman" w:hAnsi="Times New Roman" w:cs="Times New Roman"/>
          <w:sz w:val="24"/>
          <w:szCs w:val="24"/>
        </w:rPr>
        <w:t xml:space="preserve">sekitar perusahaan. Biaya lingkungan dapat dihitung dengan membandingkan </w:t>
      </w:r>
      <w:r w:rsidR="000A3C1F">
        <w:rPr>
          <w:rFonts w:ascii="Times New Roman" w:hAnsi="Times New Roman" w:cs="Times New Roman"/>
          <w:sz w:val="24"/>
          <w:szCs w:val="24"/>
        </w:rPr>
        <w:t>biaya</w:t>
      </w:r>
      <w:r w:rsidRPr="004B27B7">
        <w:rPr>
          <w:rFonts w:ascii="Times New Roman" w:hAnsi="Times New Roman" w:cs="Times New Roman"/>
          <w:sz w:val="24"/>
          <w:szCs w:val="24"/>
        </w:rPr>
        <w:t xml:space="preserve"> </w:t>
      </w:r>
      <w:r w:rsidR="000A3C1F">
        <w:rPr>
          <w:rFonts w:ascii="Times New Roman" w:hAnsi="Times New Roman" w:cs="Times New Roman"/>
          <w:sz w:val="24"/>
          <w:szCs w:val="24"/>
        </w:rPr>
        <w:t xml:space="preserve">pengeluaran </w:t>
      </w:r>
      <w:r w:rsidRPr="004B27B7">
        <w:rPr>
          <w:rFonts w:ascii="Times New Roman" w:hAnsi="Times New Roman" w:cs="Times New Roman"/>
          <w:sz w:val="24"/>
          <w:szCs w:val="24"/>
        </w:rPr>
        <w:t>untuk kegiatan CSR</w:t>
      </w:r>
      <w:r w:rsidR="00177DFC">
        <w:rPr>
          <w:rFonts w:ascii="Times New Roman" w:hAnsi="Times New Roman" w:cs="Times New Roman"/>
          <w:sz w:val="24"/>
          <w:szCs w:val="24"/>
        </w:rPr>
        <w:t xml:space="preserve"> </w:t>
      </w:r>
      <w:r w:rsidRPr="004B27B7">
        <w:rPr>
          <w:rFonts w:ascii="Times New Roman" w:hAnsi="Times New Roman" w:cs="Times New Roman"/>
          <w:i/>
          <w:iCs/>
          <w:sz w:val="24"/>
          <w:szCs w:val="24"/>
        </w:rPr>
        <w:t>(corporate social responsibility)</w:t>
      </w:r>
      <w:r w:rsidRPr="004B27B7">
        <w:rPr>
          <w:rFonts w:ascii="Times New Roman" w:hAnsi="Times New Roman" w:cs="Times New Roman"/>
          <w:sz w:val="24"/>
          <w:szCs w:val="24"/>
        </w:rPr>
        <w:t xml:space="preserve"> dengan laba bersih</w:t>
      </w:r>
      <w:r w:rsidR="00177DFC">
        <w:rPr>
          <w:rFonts w:ascii="Times New Roman" w:hAnsi="Times New Roman" w:cs="Times New Roman"/>
          <w:sz w:val="24"/>
          <w:szCs w:val="24"/>
        </w:rPr>
        <w:t xml:space="preserve"> </w:t>
      </w:r>
      <w:r w:rsidRPr="004B27B7">
        <w:rPr>
          <w:rFonts w:ascii="Times New Roman" w:hAnsi="Times New Roman" w:cs="Times New Roman"/>
          <w:sz w:val="24"/>
          <w:szCs w:val="24"/>
        </w:rPr>
        <w:fldChar w:fldCharType="begin" w:fldLock="1"/>
      </w:r>
      <w:r w:rsidRPr="004B27B7">
        <w:rPr>
          <w:rFonts w:ascii="Times New Roman" w:hAnsi="Times New Roman" w:cs="Times New Roman"/>
          <w:sz w:val="24"/>
          <w:szCs w:val="24"/>
        </w:rPr>
        <w:instrText>ADDIN CSL_CITATION {"citationItems":[{"id":"ITEM-1","itemData":{"abstract":"The main objective of this study was aimed to know the effectiveness of mind mapping in teaching descriptive text at the Eighth Grade Students of SMP Terbuka Kec.Senen in Academic Year of 2020/2021. The research was conducted in SMP Terbuka Kec. Senen. The population was the first year students of SMP Terbuka Kec. Senen in academic year of 2020/2021 with a total number of 70 students. Out of this population, students of eight grade were taken as sample.The writer used pre-experimental research with one group pre-test and post-test design in the quantitative. The data were collected by using pre-test and post-test. From the Lilliefors analysis showed that the data pre-test and post-test in Pre- experiment calss are normally distributed. Furthermore, the data post-test obtained were analyzed by using t-test formula. The t-test calculation of the post test result was known that was 8,35 and was 1,71. Therefore, tobserved &gt; ttable (8,35 &gt; 1,71). It showed that there is significant different score of students‘ achievement in writing descriptive text that was taught through mind mapping technique before and after given treatment. It can be concluded that using Mind Mapping technique was effective in writing descriptive paragraph of the eighth grade students at SMP Terbuka Kec. Senen The researcher also hopes that this research will be useful to share knowledge about the use of mind mapping for writing descriptive text, especially for students, teachers, others researchers and readers.","author":[{"dropping-particle":"","family":"Amalia","given":"Roudhatul","non-dropping-particle":"","parse-names":false,"suffix":""},{"dropping-particle":"","family":"Hafizi","given":"Muhammad Riza","non-dropping-particle":"","parse-names":false,"suffix":""},{"dropping-particle":"","family":"Mubarok","given":"Arif","non-dropping-particle":"","parse-names":false,"suffix":""}],"container-title":"Accounting Journal of Ibrahimy (AJI) e-ISSN","id":"ITEM-1","issue":"1","issued":{"date-parts":[["2024"]]},"page":"3026-6661","title":"Pengaruh Penerapan Green Accounting Dan Kinerja Lingkungan Terhadap Profitabilitas Pada Perusahaan Pertambangan Yang Terdaftar Di Bursa Efek Indonesia","type":"article-journal","volume":"2"},"uris":["http://www.mendeley.com/documents/?uuid=e7b7855c-fef8-4a1b-8c98-005f1856f5f1"]}],"mendeley":{"formattedCitation":"(Amalia et al., 2024)","plainTextFormattedCitation":"(Amalia et al., 2024)","previouslyFormattedCitation":"(Amalia et al., 2024)"},"properties":{"noteIndex":0},"schema":"https://github.com/citation-style-language/schema/raw/master/csl-citation.json"}</w:instrText>
      </w:r>
      <w:r w:rsidRPr="004B27B7">
        <w:rPr>
          <w:rFonts w:ascii="Times New Roman" w:hAnsi="Times New Roman" w:cs="Times New Roman"/>
          <w:sz w:val="24"/>
          <w:szCs w:val="24"/>
        </w:rPr>
        <w:fldChar w:fldCharType="separate"/>
      </w:r>
      <w:r w:rsidRPr="004B27B7">
        <w:rPr>
          <w:rFonts w:ascii="Times New Roman" w:hAnsi="Times New Roman" w:cs="Times New Roman"/>
          <w:noProof/>
          <w:sz w:val="24"/>
          <w:szCs w:val="24"/>
        </w:rPr>
        <w:t>(Amalia et al., 2024)</w:t>
      </w:r>
      <w:r w:rsidRPr="004B27B7">
        <w:rPr>
          <w:rFonts w:ascii="Times New Roman" w:hAnsi="Times New Roman" w:cs="Times New Roman"/>
          <w:sz w:val="24"/>
          <w:szCs w:val="24"/>
        </w:rPr>
        <w:fldChar w:fldCharType="end"/>
      </w:r>
      <w:r w:rsidRPr="004B27B7">
        <w:rPr>
          <w:rFonts w:ascii="Times New Roman" w:hAnsi="Times New Roman" w:cs="Times New Roman"/>
          <w:sz w:val="24"/>
          <w:szCs w:val="24"/>
        </w:rPr>
        <w:t xml:space="preserve">. Tujuan </w:t>
      </w:r>
      <w:r w:rsidR="000A3C1F">
        <w:rPr>
          <w:rFonts w:ascii="Times New Roman" w:hAnsi="Times New Roman" w:cs="Times New Roman"/>
          <w:sz w:val="24"/>
          <w:szCs w:val="24"/>
        </w:rPr>
        <w:t>utama dari</w:t>
      </w:r>
      <w:r w:rsidRPr="004B27B7">
        <w:rPr>
          <w:rFonts w:ascii="Times New Roman" w:hAnsi="Times New Roman" w:cs="Times New Roman"/>
          <w:sz w:val="24"/>
          <w:szCs w:val="24"/>
        </w:rPr>
        <w:t xml:space="preserve"> </w:t>
      </w:r>
      <w:r w:rsidRPr="004B27B7">
        <w:rPr>
          <w:rFonts w:ascii="Times New Roman" w:hAnsi="Times New Roman" w:cs="Times New Roman"/>
          <w:i/>
          <w:iCs/>
          <w:sz w:val="24"/>
          <w:szCs w:val="24"/>
        </w:rPr>
        <w:t>green accounting</w:t>
      </w:r>
      <w:r w:rsidRPr="004B27B7">
        <w:rPr>
          <w:rFonts w:ascii="Times New Roman" w:hAnsi="Times New Roman" w:cs="Times New Roman"/>
          <w:sz w:val="24"/>
          <w:szCs w:val="24"/>
        </w:rPr>
        <w:t xml:space="preserve"> ialah dengan memberikan informasi terkait perlindungan </w:t>
      </w:r>
      <w:r w:rsidR="000A3C1F">
        <w:rPr>
          <w:rFonts w:ascii="Times New Roman" w:hAnsi="Times New Roman" w:cs="Times New Roman"/>
          <w:sz w:val="24"/>
          <w:szCs w:val="24"/>
        </w:rPr>
        <w:t xml:space="preserve">dan kepedulian </w:t>
      </w:r>
      <w:r w:rsidRPr="004B27B7">
        <w:rPr>
          <w:rFonts w:ascii="Times New Roman" w:hAnsi="Times New Roman" w:cs="Times New Roman"/>
          <w:sz w:val="24"/>
          <w:szCs w:val="24"/>
        </w:rPr>
        <w:t>terhadap lingkunga</w:t>
      </w:r>
      <w:r w:rsidR="000A3C1F">
        <w:rPr>
          <w:rFonts w:ascii="Times New Roman" w:hAnsi="Times New Roman" w:cs="Times New Roman"/>
          <w:sz w:val="24"/>
          <w:szCs w:val="24"/>
        </w:rPr>
        <w:t>n melalui</w:t>
      </w:r>
      <w:r w:rsidRPr="004B27B7">
        <w:rPr>
          <w:rFonts w:ascii="Times New Roman" w:hAnsi="Times New Roman" w:cs="Times New Roman"/>
          <w:sz w:val="24"/>
          <w:szCs w:val="24"/>
        </w:rPr>
        <w:t xml:space="preserve"> mengidentifikasi, menganalisis, dan me</w:t>
      </w:r>
      <w:r w:rsidR="000A3C1F">
        <w:rPr>
          <w:rFonts w:ascii="Times New Roman" w:hAnsi="Times New Roman" w:cs="Times New Roman"/>
          <w:sz w:val="24"/>
          <w:szCs w:val="24"/>
        </w:rPr>
        <w:t>nyampaikan</w:t>
      </w:r>
      <w:r w:rsidRPr="004B27B7">
        <w:rPr>
          <w:rFonts w:ascii="Times New Roman" w:hAnsi="Times New Roman" w:cs="Times New Roman"/>
          <w:sz w:val="24"/>
          <w:szCs w:val="24"/>
        </w:rPr>
        <w:t xml:space="preserve"> informasi t</w:t>
      </w:r>
      <w:r w:rsidR="000A3C1F">
        <w:rPr>
          <w:rFonts w:ascii="Times New Roman" w:hAnsi="Times New Roman" w:cs="Times New Roman"/>
          <w:sz w:val="24"/>
          <w:szCs w:val="24"/>
        </w:rPr>
        <w:t>entang</w:t>
      </w:r>
      <w:r w:rsidRPr="004B27B7">
        <w:rPr>
          <w:rFonts w:ascii="Times New Roman" w:hAnsi="Times New Roman" w:cs="Times New Roman"/>
          <w:sz w:val="24"/>
          <w:szCs w:val="24"/>
        </w:rPr>
        <w:t xml:space="preserve"> produksi </w:t>
      </w:r>
      <w:r w:rsidR="000A3C1F">
        <w:rPr>
          <w:rFonts w:ascii="Times New Roman" w:hAnsi="Times New Roman" w:cs="Times New Roman"/>
          <w:sz w:val="24"/>
          <w:szCs w:val="24"/>
        </w:rPr>
        <w:t xml:space="preserve">serta </w:t>
      </w:r>
      <w:r w:rsidRPr="004B27B7">
        <w:rPr>
          <w:rFonts w:ascii="Times New Roman" w:hAnsi="Times New Roman" w:cs="Times New Roman"/>
          <w:sz w:val="24"/>
          <w:szCs w:val="24"/>
        </w:rPr>
        <w:t>biaya lingkungan yang di</w:t>
      </w:r>
      <w:r w:rsidR="000A3C1F">
        <w:rPr>
          <w:rFonts w:ascii="Times New Roman" w:hAnsi="Times New Roman" w:cs="Times New Roman"/>
          <w:sz w:val="24"/>
          <w:szCs w:val="24"/>
        </w:rPr>
        <w:t xml:space="preserve">tunjukan agar </w:t>
      </w:r>
      <w:r w:rsidRPr="004B27B7">
        <w:rPr>
          <w:rFonts w:ascii="Times New Roman" w:hAnsi="Times New Roman" w:cs="Times New Roman"/>
          <w:sz w:val="24"/>
          <w:szCs w:val="24"/>
        </w:rPr>
        <w:t xml:space="preserve">suatu perusahaan dapat </w:t>
      </w:r>
      <w:r w:rsidR="000A3C1F">
        <w:rPr>
          <w:rFonts w:ascii="Times New Roman" w:hAnsi="Times New Roman" w:cs="Times New Roman"/>
          <w:sz w:val="24"/>
          <w:szCs w:val="24"/>
        </w:rPr>
        <w:t xml:space="preserve">mencapai </w:t>
      </w:r>
      <w:r w:rsidRPr="000A3C1F">
        <w:rPr>
          <w:rFonts w:ascii="Times New Roman" w:hAnsi="Times New Roman" w:cs="Times New Roman"/>
          <w:sz w:val="24"/>
          <w:szCs w:val="24"/>
        </w:rPr>
        <w:t>profitabilita</w:t>
      </w:r>
      <w:r w:rsidR="00177DFC">
        <w:rPr>
          <w:rFonts w:ascii="Times New Roman" w:hAnsi="Times New Roman" w:cs="Times New Roman"/>
          <w:sz w:val="24"/>
          <w:szCs w:val="24"/>
        </w:rPr>
        <w:t xml:space="preserve"> </w:t>
      </w:r>
      <w:r w:rsidRPr="004B27B7">
        <w:rPr>
          <w:rFonts w:ascii="Times New Roman" w:hAnsi="Times New Roman" w:cs="Times New Roman"/>
          <w:sz w:val="24"/>
          <w:szCs w:val="24"/>
        </w:rPr>
        <w:fldChar w:fldCharType="begin" w:fldLock="1"/>
      </w:r>
      <w:r w:rsidRPr="004B27B7">
        <w:rPr>
          <w:rFonts w:ascii="Times New Roman" w:hAnsi="Times New Roman" w:cs="Times New Roman"/>
          <w:sz w:val="24"/>
          <w:szCs w:val="24"/>
        </w:rPr>
        <w:instrText>ADDIN CSL_CITATION {"citationItems":[{"id":"ITEM-1","itemData":{"author":[{"dropping-particle":"","family":"Mansyur","given":"Maesarah","non-dropping-particle":"","parse-names":false,"suffix":""},{"dropping-particle":"","family":"Musa","given":"Chalid Imran","non-dropping-particle":"","parse-names":false,"suffix":""},{"dropping-particle":"","family":"Ramli","given":"Anwar","non-dropping-particle":"","parse-names":false,"suffix":""}],"container-title":"Jurnal Ilmu Manajemen Dan Bisnis","id":"ITEM-1","issued":{"date-parts":[["2025"]]},"page":"87-99","title":"PENGARUH PENERAPAN GREEN ACCOUNTING TERHADAP HARGA SAHAM DENGAN PROFITABILITAS SEBAGAI VARIABEL MODERATING PADA PERUSAHAAN FOOD AND BEVERAGES YANG TERDAFTAR DI BURSA EFEK INDONESIA","type":"article-journal","volume":"2"},"uris":["http://www.mendeley.com/documents/?uuid=97e2d144-9e2b-4b36-b98c-281f08b51d99"]}],"mendeley":{"formattedCitation":"(Mansyur et al., 2025)","plainTextFormattedCitation":"(Mansyur et al., 2025)","previouslyFormattedCitation":"(Mansyur et al., 2025)"},"properties":{"noteIndex":0},"schema":"https://github.com/citation-style-language/schema/raw/master/csl-citation.json"}</w:instrText>
      </w:r>
      <w:r w:rsidRPr="004B27B7">
        <w:rPr>
          <w:rFonts w:ascii="Times New Roman" w:hAnsi="Times New Roman" w:cs="Times New Roman"/>
          <w:sz w:val="24"/>
          <w:szCs w:val="24"/>
        </w:rPr>
        <w:fldChar w:fldCharType="separate"/>
      </w:r>
      <w:r w:rsidRPr="004B27B7">
        <w:rPr>
          <w:rFonts w:ascii="Times New Roman" w:hAnsi="Times New Roman" w:cs="Times New Roman"/>
          <w:noProof/>
          <w:sz w:val="24"/>
          <w:szCs w:val="24"/>
        </w:rPr>
        <w:t>(Mansyur et al., 2025)</w:t>
      </w:r>
      <w:r w:rsidRPr="004B27B7">
        <w:rPr>
          <w:rFonts w:ascii="Times New Roman" w:hAnsi="Times New Roman" w:cs="Times New Roman"/>
          <w:sz w:val="24"/>
          <w:szCs w:val="24"/>
        </w:rPr>
        <w:fldChar w:fldCharType="end"/>
      </w:r>
      <w:r w:rsidRPr="004B27B7">
        <w:rPr>
          <w:rFonts w:ascii="Times New Roman" w:hAnsi="Times New Roman" w:cs="Times New Roman"/>
          <w:sz w:val="24"/>
          <w:szCs w:val="24"/>
        </w:rPr>
        <w:t>.</w:t>
      </w:r>
    </w:p>
    <w:p w14:paraId="68550B7C" w14:textId="77777777" w:rsidR="003B1588" w:rsidRDefault="00000000" w:rsidP="003B1588">
      <w:pPr>
        <w:spacing w:line="360" w:lineRule="auto"/>
        <w:jc w:val="both"/>
        <w:rPr>
          <w:rFonts w:ascii="Times New Roman" w:hAnsi="Times New Roman" w:cs="Times New Roman"/>
          <w:sz w:val="24"/>
          <w:szCs w:val="24"/>
        </w:rPr>
      </w:pPr>
      <w:r w:rsidRPr="004B27B7">
        <w:rPr>
          <w:rFonts w:ascii="Times New Roman" w:hAnsi="Times New Roman" w:cs="Times New Roman"/>
          <w:b/>
          <w:bCs/>
          <w:sz w:val="24"/>
          <w:szCs w:val="24"/>
        </w:rPr>
        <w:t>Biaya Lingkungan</w:t>
      </w:r>
    </w:p>
    <w:p w14:paraId="4D0DEEF7" w14:textId="7A3446C7" w:rsidR="003B1588" w:rsidRDefault="00000000" w:rsidP="003909BF">
      <w:pPr>
        <w:spacing w:line="360" w:lineRule="auto"/>
        <w:ind w:firstLine="720"/>
        <w:jc w:val="both"/>
        <w:rPr>
          <w:rFonts w:ascii="Times New Roman" w:hAnsi="Times New Roman" w:cs="Times New Roman"/>
          <w:sz w:val="24"/>
          <w:szCs w:val="24"/>
        </w:rPr>
      </w:pPr>
      <w:r w:rsidRPr="004B27B7">
        <w:rPr>
          <w:rFonts w:ascii="Times New Roman" w:hAnsi="Times New Roman" w:cs="Times New Roman"/>
          <w:sz w:val="24"/>
          <w:szCs w:val="24"/>
        </w:rPr>
        <w:t xml:space="preserve">Biaya lingkungan </w:t>
      </w:r>
      <w:r w:rsidR="00E445D0">
        <w:rPr>
          <w:rFonts w:ascii="Times New Roman" w:hAnsi="Times New Roman" w:cs="Times New Roman"/>
          <w:sz w:val="24"/>
          <w:szCs w:val="24"/>
        </w:rPr>
        <w:t>merupakan</w:t>
      </w:r>
      <w:r w:rsidRPr="004B27B7">
        <w:rPr>
          <w:rFonts w:ascii="Times New Roman" w:hAnsi="Times New Roman" w:cs="Times New Roman"/>
          <w:sz w:val="24"/>
          <w:szCs w:val="24"/>
        </w:rPr>
        <w:t xml:space="preserve"> </w:t>
      </w:r>
      <w:r w:rsidR="00E445D0" w:rsidRPr="00E445D0">
        <w:rPr>
          <w:rFonts w:ascii="Times New Roman" w:hAnsi="Times New Roman" w:cs="Times New Roman"/>
          <w:sz w:val="24"/>
          <w:szCs w:val="24"/>
        </w:rPr>
        <w:t>pengeluaran yang dilakukan oleh perusahaan, mencakup biaya internal dan eksternal</w:t>
      </w:r>
      <w:r w:rsidR="00E445D0">
        <w:rPr>
          <w:rFonts w:ascii="Times New Roman" w:hAnsi="Times New Roman" w:cs="Times New Roman"/>
          <w:sz w:val="24"/>
          <w:szCs w:val="24"/>
        </w:rPr>
        <w:t xml:space="preserve"> </w:t>
      </w:r>
      <w:r w:rsidRPr="004B27B7">
        <w:rPr>
          <w:rFonts w:ascii="Times New Roman" w:hAnsi="Times New Roman" w:cs="Times New Roman"/>
          <w:sz w:val="24"/>
          <w:szCs w:val="24"/>
        </w:rPr>
        <w:t>serta se</w:t>
      </w:r>
      <w:r w:rsidR="00E445D0">
        <w:rPr>
          <w:rFonts w:ascii="Times New Roman" w:hAnsi="Times New Roman" w:cs="Times New Roman"/>
          <w:sz w:val="24"/>
          <w:szCs w:val="24"/>
        </w:rPr>
        <w:t>luruh</w:t>
      </w:r>
      <w:r w:rsidRPr="004B27B7">
        <w:rPr>
          <w:rFonts w:ascii="Times New Roman" w:hAnsi="Times New Roman" w:cs="Times New Roman"/>
          <w:sz w:val="24"/>
          <w:szCs w:val="24"/>
        </w:rPr>
        <w:t xml:space="preserve"> biaya yang </w:t>
      </w:r>
      <w:r w:rsidR="00E445D0">
        <w:rPr>
          <w:rFonts w:ascii="Times New Roman" w:hAnsi="Times New Roman" w:cs="Times New Roman"/>
          <w:sz w:val="24"/>
          <w:szCs w:val="24"/>
        </w:rPr>
        <w:t>muncul</w:t>
      </w:r>
      <w:r w:rsidRPr="004B27B7">
        <w:rPr>
          <w:rFonts w:ascii="Times New Roman" w:hAnsi="Times New Roman" w:cs="Times New Roman"/>
          <w:sz w:val="24"/>
          <w:szCs w:val="24"/>
        </w:rPr>
        <w:t xml:space="preserve"> </w:t>
      </w:r>
      <w:r w:rsidR="00E445D0">
        <w:rPr>
          <w:rFonts w:ascii="Times New Roman" w:hAnsi="Times New Roman" w:cs="Times New Roman"/>
          <w:sz w:val="24"/>
          <w:szCs w:val="24"/>
        </w:rPr>
        <w:t>akibat</w:t>
      </w:r>
      <w:r w:rsidRPr="004B27B7">
        <w:rPr>
          <w:rFonts w:ascii="Times New Roman" w:hAnsi="Times New Roman" w:cs="Times New Roman"/>
          <w:sz w:val="24"/>
          <w:szCs w:val="24"/>
        </w:rPr>
        <w:t xml:space="preserve"> kerusakan lingkungan dan </w:t>
      </w:r>
      <w:r w:rsidR="00E445D0">
        <w:rPr>
          <w:rFonts w:ascii="Times New Roman" w:hAnsi="Times New Roman" w:cs="Times New Roman"/>
          <w:sz w:val="24"/>
          <w:szCs w:val="24"/>
        </w:rPr>
        <w:t xml:space="preserve">upaya </w:t>
      </w:r>
      <w:r w:rsidRPr="004B27B7">
        <w:rPr>
          <w:rFonts w:ascii="Times New Roman" w:hAnsi="Times New Roman" w:cs="Times New Roman"/>
          <w:sz w:val="24"/>
          <w:szCs w:val="24"/>
        </w:rPr>
        <w:t>perlindungan. Biaya perlindungan lingkungan</w:t>
      </w:r>
      <w:r w:rsidRPr="004B27B7">
        <w:rPr>
          <w:rFonts w:ascii="Times New Roman" w:hAnsi="Times New Roman" w:cs="Times New Roman"/>
          <w:b/>
          <w:bCs/>
          <w:sz w:val="24"/>
          <w:szCs w:val="24"/>
        </w:rPr>
        <w:t xml:space="preserve"> </w:t>
      </w:r>
      <w:r w:rsidRPr="004B27B7">
        <w:rPr>
          <w:rFonts w:ascii="Times New Roman" w:hAnsi="Times New Roman" w:cs="Times New Roman"/>
          <w:sz w:val="24"/>
          <w:szCs w:val="24"/>
        </w:rPr>
        <w:t>me</w:t>
      </w:r>
      <w:r w:rsidR="00E445D0">
        <w:rPr>
          <w:rFonts w:ascii="Times New Roman" w:hAnsi="Times New Roman" w:cs="Times New Roman"/>
          <w:sz w:val="24"/>
          <w:szCs w:val="24"/>
        </w:rPr>
        <w:t>ncakup</w:t>
      </w:r>
      <w:r w:rsidRPr="004B27B7">
        <w:rPr>
          <w:rFonts w:ascii="Times New Roman" w:hAnsi="Times New Roman" w:cs="Times New Roman"/>
          <w:sz w:val="24"/>
          <w:szCs w:val="24"/>
        </w:rPr>
        <w:t xml:space="preserve"> biaya untuk pencegahan, penjualan, perencanaan, pengendalian, pengalihan </w:t>
      </w:r>
      <w:r w:rsidR="00E445D0">
        <w:rPr>
          <w:rFonts w:ascii="Times New Roman" w:hAnsi="Times New Roman" w:cs="Times New Roman"/>
          <w:sz w:val="24"/>
          <w:szCs w:val="24"/>
        </w:rPr>
        <w:t>tindakan</w:t>
      </w:r>
      <w:r w:rsidRPr="004B27B7">
        <w:rPr>
          <w:rFonts w:ascii="Times New Roman" w:hAnsi="Times New Roman" w:cs="Times New Roman"/>
          <w:sz w:val="24"/>
          <w:szCs w:val="24"/>
        </w:rPr>
        <w:t xml:space="preserve">, </w:t>
      </w:r>
      <w:r w:rsidR="00E445D0">
        <w:rPr>
          <w:rFonts w:ascii="Times New Roman" w:hAnsi="Times New Roman" w:cs="Times New Roman"/>
          <w:sz w:val="24"/>
          <w:szCs w:val="24"/>
        </w:rPr>
        <w:t>serta</w:t>
      </w:r>
      <w:r w:rsidRPr="004B27B7">
        <w:rPr>
          <w:rFonts w:ascii="Times New Roman" w:hAnsi="Times New Roman" w:cs="Times New Roman"/>
          <w:b/>
          <w:bCs/>
          <w:sz w:val="24"/>
          <w:szCs w:val="24"/>
        </w:rPr>
        <w:t xml:space="preserve"> </w:t>
      </w:r>
      <w:r w:rsidRPr="004B27B7">
        <w:rPr>
          <w:rFonts w:ascii="Times New Roman" w:hAnsi="Times New Roman" w:cs="Times New Roman"/>
          <w:sz w:val="24"/>
          <w:szCs w:val="24"/>
        </w:rPr>
        <w:t xml:space="preserve">perbaikan kerusakan yang </w:t>
      </w:r>
      <w:r w:rsidR="00E445D0">
        <w:rPr>
          <w:rFonts w:ascii="Times New Roman" w:hAnsi="Times New Roman" w:cs="Times New Roman"/>
          <w:sz w:val="24"/>
          <w:szCs w:val="24"/>
        </w:rPr>
        <w:t xml:space="preserve">mungkin </w:t>
      </w:r>
      <w:r w:rsidRPr="004B27B7">
        <w:rPr>
          <w:rFonts w:ascii="Times New Roman" w:hAnsi="Times New Roman" w:cs="Times New Roman"/>
          <w:sz w:val="24"/>
          <w:szCs w:val="24"/>
        </w:rPr>
        <w:t>terjadi pada perusahaan dan ber</w:t>
      </w:r>
      <w:r w:rsidR="00E445D0">
        <w:rPr>
          <w:rFonts w:ascii="Times New Roman" w:hAnsi="Times New Roman" w:cs="Times New Roman"/>
          <w:sz w:val="24"/>
          <w:szCs w:val="24"/>
        </w:rPr>
        <w:t>dampak</w:t>
      </w:r>
      <w:r w:rsidRPr="004B27B7">
        <w:rPr>
          <w:rFonts w:ascii="Times New Roman" w:hAnsi="Times New Roman" w:cs="Times New Roman"/>
          <w:sz w:val="24"/>
          <w:szCs w:val="24"/>
        </w:rPr>
        <w:t xml:space="preserve"> pada pemerintah atau</w:t>
      </w:r>
      <w:r w:rsidRPr="004B27B7">
        <w:rPr>
          <w:rFonts w:ascii="Times New Roman" w:hAnsi="Times New Roman" w:cs="Times New Roman"/>
          <w:b/>
          <w:bCs/>
          <w:sz w:val="24"/>
          <w:szCs w:val="24"/>
        </w:rPr>
        <w:t xml:space="preserve"> </w:t>
      </w:r>
      <w:r w:rsidR="00E445D0">
        <w:rPr>
          <w:rFonts w:ascii="Times New Roman" w:hAnsi="Times New Roman" w:cs="Times New Roman"/>
          <w:sz w:val="24"/>
          <w:szCs w:val="24"/>
        </w:rPr>
        <w:t>masyarakat sekitar</w:t>
      </w:r>
      <w:r w:rsidR="00177DFC">
        <w:rPr>
          <w:rFonts w:ascii="Times New Roman" w:hAnsi="Times New Roman" w:cs="Times New Roman"/>
          <w:sz w:val="24"/>
          <w:szCs w:val="24"/>
        </w:rPr>
        <w:t xml:space="preserve"> </w:t>
      </w:r>
      <w:r w:rsidRPr="004B27B7">
        <w:rPr>
          <w:rFonts w:ascii="Times New Roman" w:hAnsi="Times New Roman" w:cs="Times New Roman"/>
          <w:sz w:val="24"/>
          <w:szCs w:val="24"/>
        </w:rPr>
        <w:fldChar w:fldCharType="begin" w:fldLock="1"/>
      </w:r>
      <w:r w:rsidRPr="004B27B7">
        <w:rPr>
          <w:rFonts w:ascii="Times New Roman" w:hAnsi="Times New Roman" w:cs="Times New Roman"/>
          <w:sz w:val="24"/>
          <w:szCs w:val="24"/>
        </w:rPr>
        <w:instrText>ADDIN CSL_CITATION {"citationItems":[{"id":"ITEM-1","itemData":{"DOI":"10.61132/jieap.v1i3.463","ISSN":"3046-8752","abstract":"This research aims to determine the application of environmental cost accounting in the Super Jaya tofu factory industry.   This research uses qualitative methods. In this research, the data sources used are primary data and secondary data. The data collection technique uses observation, interviews and documentation. By conducting direct interviews with the owners of the Super Jaya tofu factory industry. The data analysis technique uses data collection, data reduction, data presentation, conclusions and data verification. The research results obtained from the application of environmental cost accounting are still not effective because they have not prepared financial reports and have not implemented cost accounting in presenting financial reports because the costs traced are only general costs related to the tofu production process. Such as raw material costs, labor costs, general capital costs and special capital costs, while the costs for waste management are only labor costs for the filtering section and environmental cleaning equipment costs.","author":[{"dropping-particle":"","family":"Christianus Tomy Saputra","given":"","non-dropping-particle":"","parse-names":false,"suffix":""},{"dropping-particle":"","family":"Wilhelmina Mitan","given":"","non-dropping-particle":"","parse-names":false,"suffix":""},{"dropping-particle":"","family":"Pipiet Niken Aurelia","given":"","non-dropping-particle":"","parse-names":false,"suffix":""}],"container-title":"Jurnal Ilmiah Ekonomi, Akuntansi, dan Pajak","id":"ITEM-1","issue":"3","issued":{"date-parts":[["2024"]]},"page":"342-359","title":"Analisis Penerapan Akuntansi Biaya Lingkungan pada Industri Pabrik Tahu Super Jaya","type":"article-journal","volume":"1"},"uris":["http://www.mendeley.com/documents/?uuid=1322d8a3-9b77-4988-8e8e-23e50417dde4"]}],"mendeley":{"formattedCitation":"(Christianus Tomy Saputra et al., 2024)","plainTextFormattedCitation":"(Christianus Tomy Saputra et al., 2024)","previouslyFormattedCitation":"(Christianus Tomy Saputra et al., 2024)"},"properties":{"noteIndex":0},"schema":"https://github.com/citation-style-language/schema/raw/master/csl-citation.json"}</w:instrText>
      </w:r>
      <w:r w:rsidRPr="004B27B7">
        <w:rPr>
          <w:rFonts w:ascii="Times New Roman" w:hAnsi="Times New Roman" w:cs="Times New Roman"/>
          <w:sz w:val="24"/>
          <w:szCs w:val="24"/>
        </w:rPr>
        <w:fldChar w:fldCharType="separate"/>
      </w:r>
      <w:r w:rsidRPr="004B27B7">
        <w:rPr>
          <w:rFonts w:ascii="Times New Roman" w:hAnsi="Times New Roman" w:cs="Times New Roman"/>
          <w:noProof/>
          <w:sz w:val="24"/>
          <w:szCs w:val="24"/>
        </w:rPr>
        <w:t>(Christianus Tomy Saputra et al., 2024)</w:t>
      </w:r>
      <w:r w:rsidRPr="004B27B7">
        <w:rPr>
          <w:rFonts w:ascii="Times New Roman" w:hAnsi="Times New Roman" w:cs="Times New Roman"/>
          <w:sz w:val="24"/>
          <w:szCs w:val="24"/>
        </w:rPr>
        <w:fldChar w:fldCharType="end"/>
      </w:r>
      <w:r w:rsidRPr="004B27B7">
        <w:rPr>
          <w:rFonts w:ascii="Times New Roman" w:hAnsi="Times New Roman" w:cs="Times New Roman"/>
          <w:sz w:val="24"/>
          <w:szCs w:val="24"/>
        </w:rPr>
        <w:t xml:space="preserve">. Biaya lingkungan </w:t>
      </w:r>
      <w:r w:rsidR="00E445D0">
        <w:rPr>
          <w:rFonts w:ascii="Times New Roman" w:hAnsi="Times New Roman" w:cs="Times New Roman"/>
          <w:sz w:val="24"/>
          <w:szCs w:val="24"/>
        </w:rPr>
        <w:t xml:space="preserve">merupakan </w:t>
      </w:r>
      <w:r w:rsidRPr="004B27B7">
        <w:rPr>
          <w:rFonts w:ascii="Times New Roman" w:hAnsi="Times New Roman" w:cs="Times New Roman"/>
          <w:sz w:val="24"/>
          <w:szCs w:val="24"/>
        </w:rPr>
        <w:t>biaya yang berkaitan dengan produk, proses, sistem, atau fasilitas yang penting untuk mendukung pengambilan keputusan manajerial yang lebih efektif</w:t>
      </w:r>
      <w:r w:rsidR="00E445D0">
        <w:rPr>
          <w:rFonts w:ascii="Times New Roman" w:hAnsi="Times New Roman" w:cs="Times New Roman"/>
          <w:sz w:val="24"/>
          <w:szCs w:val="24"/>
        </w:rPr>
        <w:t xml:space="preserve"> dan efesien</w:t>
      </w:r>
      <w:r w:rsidR="00177DFC">
        <w:rPr>
          <w:rFonts w:ascii="Times New Roman" w:hAnsi="Times New Roman" w:cs="Times New Roman"/>
          <w:sz w:val="24"/>
          <w:szCs w:val="24"/>
        </w:rPr>
        <w:t xml:space="preserve"> </w:t>
      </w:r>
      <w:r w:rsidRPr="004B27B7">
        <w:rPr>
          <w:rFonts w:ascii="Times New Roman" w:hAnsi="Times New Roman" w:cs="Times New Roman"/>
          <w:sz w:val="24"/>
          <w:szCs w:val="24"/>
        </w:rPr>
        <w:fldChar w:fldCharType="begin" w:fldLock="1"/>
      </w:r>
      <w:r w:rsidRPr="004B27B7">
        <w:rPr>
          <w:rFonts w:ascii="Times New Roman" w:hAnsi="Times New Roman" w:cs="Times New Roman"/>
          <w:sz w:val="24"/>
          <w:szCs w:val="24"/>
        </w:rPr>
        <w:instrText>ADDIN CSL_CITATION {"citationItems":[{"id":"ITEM-1","itemData":{"DOI":"10.4324/9781003488965-5","author":[{"dropping-particle":"","family":"Rahman","given":"Md Jahidur","non-dropping-particle":"","parse-names":false,"suffix":""},{"dropping-particle":"","family":"Rana","given":"Tarek","non-dropping-particle":"","parse-names":false,"suffix":""},{"dropping-particle":"","family":"Zhu","given":"Hongtao","non-dropping-particle":"","parse-names":false,"suffix":""},{"dropping-particle":"","family":"Qianqian","given":"Tu","non-dropping-particle":"","parse-names":false,"suffix":""},{"dropping-particle":"","family":"Khan","given":"Sajjad Hossain","non-dropping-particle":"","parse-names":false,"suffix":""}],"container-title":"Carbon Accounting for Sustainability and Environmental Management","id":"ITEM-1","issue":"3","issued":{"date-parts":[["2025"]]},"page":"61-76","title":"Environmental Accounting and Financial Performance","type":"article-journal","volume":"7"},"uris":["http://www.mendeley.com/documents/?uuid=63eb5a9c-7b83-49f5-ae06-60f73920b6a9"]}],"mendeley":{"formattedCitation":"(Rahman et al., 2025)","plainTextFormattedCitation":"(Rahman et al., 2025)","previouslyFormattedCitation":"(Rahman et al., 2025)"},"properties":{"noteIndex":0},"schema":"https://github.com/citation-style-language/schema/raw/master/csl-citation.json"}</w:instrText>
      </w:r>
      <w:r w:rsidRPr="004B27B7">
        <w:rPr>
          <w:rFonts w:ascii="Times New Roman" w:hAnsi="Times New Roman" w:cs="Times New Roman"/>
          <w:sz w:val="24"/>
          <w:szCs w:val="24"/>
        </w:rPr>
        <w:fldChar w:fldCharType="separate"/>
      </w:r>
      <w:r w:rsidRPr="004B27B7">
        <w:rPr>
          <w:rFonts w:ascii="Times New Roman" w:hAnsi="Times New Roman" w:cs="Times New Roman"/>
          <w:noProof/>
          <w:sz w:val="24"/>
          <w:szCs w:val="24"/>
        </w:rPr>
        <w:t>(Rahman et al., 2025)</w:t>
      </w:r>
      <w:r w:rsidRPr="004B27B7">
        <w:rPr>
          <w:rFonts w:ascii="Times New Roman" w:hAnsi="Times New Roman" w:cs="Times New Roman"/>
          <w:sz w:val="24"/>
          <w:szCs w:val="24"/>
        </w:rPr>
        <w:fldChar w:fldCharType="end"/>
      </w:r>
      <w:r w:rsidRPr="004B27B7">
        <w:rPr>
          <w:rFonts w:ascii="Times New Roman" w:hAnsi="Times New Roman" w:cs="Times New Roman"/>
          <w:sz w:val="24"/>
          <w:szCs w:val="24"/>
        </w:rPr>
        <w:t xml:space="preserve">. Dalam </w:t>
      </w:r>
      <w:r w:rsidR="00E445D0">
        <w:rPr>
          <w:rFonts w:ascii="Times New Roman" w:hAnsi="Times New Roman" w:cs="Times New Roman"/>
          <w:sz w:val="24"/>
          <w:szCs w:val="24"/>
        </w:rPr>
        <w:t>waktu dekat</w:t>
      </w:r>
      <w:r w:rsidRPr="004B27B7">
        <w:rPr>
          <w:rFonts w:ascii="Times New Roman" w:hAnsi="Times New Roman" w:cs="Times New Roman"/>
          <w:sz w:val="24"/>
          <w:szCs w:val="24"/>
        </w:rPr>
        <w:t>, biaya ini sering kali dipandang  sebagai beban</w:t>
      </w:r>
      <w:r w:rsidR="00E445D0">
        <w:rPr>
          <w:rFonts w:ascii="Times New Roman" w:hAnsi="Times New Roman" w:cs="Times New Roman"/>
          <w:sz w:val="24"/>
          <w:szCs w:val="24"/>
        </w:rPr>
        <w:t xml:space="preserve">, namun jika dilihat </w:t>
      </w:r>
      <w:r w:rsidRPr="004B27B7">
        <w:rPr>
          <w:rFonts w:ascii="Times New Roman" w:hAnsi="Times New Roman" w:cs="Times New Roman"/>
          <w:sz w:val="24"/>
          <w:szCs w:val="24"/>
        </w:rPr>
        <w:t>dari jangka panjang biaya tersebut</w:t>
      </w:r>
      <w:r w:rsidR="00E445D0">
        <w:rPr>
          <w:rFonts w:ascii="Times New Roman" w:hAnsi="Times New Roman" w:cs="Times New Roman"/>
          <w:sz w:val="24"/>
          <w:szCs w:val="24"/>
        </w:rPr>
        <w:t xml:space="preserve"> berpotensi memberikan keuntungan</w:t>
      </w:r>
      <w:r w:rsidRPr="004B27B7">
        <w:rPr>
          <w:rFonts w:ascii="Times New Roman" w:hAnsi="Times New Roman" w:cs="Times New Roman"/>
          <w:sz w:val="24"/>
          <w:szCs w:val="24"/>
        </w:rPr>
        <w:t xml:space="preserve">, seperti </w:t>
      </w:r>
      <w:r w:rsidR="003B1588">
        <w:rPr>
          <w:rFonts w:ascii="Times New Roman" w:hAnsi="Times New Roman" w:cs="Times New Roman"/>
          <w:sz w:val="24"/>
          <w:szCs w:val="24"/>
        </w:rPr>
        <w:t xml:space="preserve">memperbaiki </w:t>
      </w:r>
      <w:r w:rsidRPr="004B27B7">
        <w:rPr>
          <w:rFonts w:ascii="Times New Roman" w:hAnsi="Times New Roman" w:cs="Times New Roman"/>
          <w:sz w:val="24"/>
          <w:szCs w:val="24"/>
        </w:rPr>
        <w:t xml:space="preserve">efisiensi operasional </w:t>
      </w:r>
      <w:r w:rsidR="003B1588">
        <w:rPr>
          <w:rFonts w:ascii="Times New Roman" w:hAnsi="Times New Roman" w:cs="Times New Roman"/>
          <w:sz w:val="24"/>
          <w:szCs w:val="24"/>
        </w:rPr>
        <w:t xml:space="preserve">dan </w:t>
      </w:r>
      <w:r w:rsidRPr="004B27B7">
        <w:rPr>
          <w:rFonts w:ascii="Times New Roman" w:hAnsi="Times New Roman" w:cs="Times New Roman"/>
          <w:sz w:val="24"/>
          <w:szCs w:val="24"/>
        </w:rPr>
        <w:t xml:space="preserve">memperkuat reputasi perusahaan, yang pada </w:t>
      </w:r>
      <w:r w:rsidR="003B1588">
        <w:rPr>
          <w:rFonts w:ascii="Times New Roman" w:hAnsi="Times New Roman" w:cs="Times New Roman"/>
          <w:sz w:val="24"/>
          <w:szCs w:val="24"/>
        </w:rPr>
        <w:t xml:space="preserve">akhirnya </w:t>
      </w:r>
      <w:r w:rsidRPr="004B27B7">
        <w:rPr>
          <w:rFonts w:ascii="Times New Roman" w:hAnsi="Times New Roman" w:cs="Times New Roman"/>
          <w:sz w:val="24"/>
          <w:szCs w:val="24"/>
        </w:rPr>
        <w:t>dapat ber</w:t>
      </w:r>
      <w:r w:rsidR="003B1588">
        <w:rPr>
          <w:rFonts w:ascii="Times New Roman" w:hAnsi="Times New Roman" w:cs="Times New Roman"/>
          <w:sz w:val="24"/>
          <w:szCs w:val="24"/>
        </w:rPr>
        <w:t>kontribusi</w:t>
      </w:r>
      <w:r w:rsidRPr="004B27B7">
        <w:rPr>
          <w:rFonts w:ascii="Times New Roman" w:hAnsi="Times New Roman" w:cs="Times New Roman"/>
          <w:sz w:val="24"/>
          <w:szCs w:val="24"/>
        </w:rPr>
        <w:t xml:space="preserve"> dalam meningkatkan nilai perusahaan</w:t>
      </w:r>
      <w:r w:rsidR="00A12C81">
        <w:rPr>
          <w:rFonts w:ascii="Times New Roman" w:hAnsi="Times New Roman" w:cs="Times New Roman"/>
          <w:sz w:val="24"/>
          <w:szCs w:val="24"/>
        </w:rPr>
        <w:t>.</w:t>
      </w:r>
    </w:p>
    <w:p w14:paraId="57B17925" w14:textId="5A2D95F4" w:rsidR="003B1588" w:rsidRDefault="003B1588" w:rsidP="003909BF">
      <w:pPr>
        <w:spacing w:line="360" w:lineRule="auto"/>
        <w:ind w:firstLine="720"/>
        <w:jc w:val="both"/>
        <w:rPr>
          <w:rFonts w:ascii="Times New Roman" w:hAnsi="Times New Roman" w:cs="Times New Roman"/>
          <w:sz w:val="24"/>
          <w:szCs w:val="24"/>
        </w:rPr>
      </w:pPr>
      <w:r w:rsidRPr="004B27B7">
        <w:rPr>
          <w:rFonts w:ascii="Times New Roman" w:hAnsi="Times New Roman" w:cs="Times New Roman"/>
          <w:sz w:val="24"/>
          <w:szCs w:val="24"/>
        </w:rPr>
        <w:lastRenderedPageBreak/>
        <w:t>Biaya lingkungan dapat di</w:t>
      </w:r>
      <w:r>
        <w:rPr>
          <w:rFonts w:ascii="Times New Roman" w:hAnsi="Times New Roman" w:cs="Times New Roman"/>
          <w:sz w:val="24"/>
          <w:szCs w:val="24"/>
        </w:rPr>
        <w:t>bagi</w:t>
      </w:r>
      <w:r w:rsidRPr="004B27B7">
        <w:rPr>
          <w:rFonts w:ascii="Times New Roman" w:hAnsi="Times New Roman" w:cs="Times New Roman"/>
          <w:sz w:val="24"/>
          <w:szCs w:val="24"/>
        </w:rPr>
        <w:t xml:space="preserve"> menjadi empat kategori : biaya pencegahan </w:t>
      </w:r>
      <w:r w:rsidRPr="004B27B7">
        <w:rPr>
          <w:rFonts w:ascii="Times New Roman" w:hAnsi="Times New Roman" w:cs="Times New Roman"/>
          <w:i/>
          <w:iCs/>
          <w:sz w:val="24"/>
          <w:szCs w:val="24"/>
        </w:rPr>
        <w:t>(prevention cost)</w:t>
      </w:r>
      <w:r w:rsidRPr="004B27B7">
        <w:rPr>
          <w:rFonts w:ascii="Times New Roman" w:hAnsi="Times New Roman" w:cs="Times New Roman"/>
          <w:sz w:val="24"/>
          <w:szCs w:val="24"/>
        </w:rPr>
        <w:t xml:space="preserve">, biaya deteksi </w:t>
      </w:r>
      <w:r w:rsidRPr="004B27B7">
        <w:rPr>
          <w:rFonts w:ascii="Times New Roman" w:hAnsi="Times New Roman" w:cs="Times New Roman"/>
          <w:i/>
          <w:iCs/>
          <w:sz w:val="24"/>
          <w:szCs w:val="24"/>
        </w:rPr>
        <w:t>(detection cost)</w:t>
      </w:r>
      <w:r w:rsidRPr="004B27B7">
        <w:rPr>
          <w:rFonts w:ascii="Times New Roman" w:hAnsi="Times New Roman" w:cs="Times New Roman"/>
          <w:sz w:val="24"/>
          <w:szCs w:val="24"/>
        </w:rPr>
        <w:t xml:space="preserve">, biaya kegagalan internal </w:t>
      </w:r>
      <w:r w:rsidRPr="004B27B7">
        <w:rPr>
          <w:rFonts w:ascii="Times New Roman" w:hAnsi="Times New Roman" w:cs="Times New Roman"/>
          <w:i/>
          <w:iCs/>
          <w:sz w:val="24"/>
          <w:szCs w:val="24"/>
        </w:rPr>
        <w:t>(internal failure cost)</w:t>
      </w:r>
      <w:r w:rsidRPr="004B27B7">
        <w:rPr>
          <w:rFonts w:ascii="Times New Roman" w:hAnsi="Times New Roman" w:cs="Times New Roman"/>
          <w:sz w:val="24"/>
          <w:szCs w:val="24"/>
        </w:rPr>
        <w:t>, dan biaya kegagalan eksternal</w:t>
      </w:r>
      <w:r w:rsidR="00177DFC">
        <w:rPr>
          <w:rFonts w:ascii="Times New Roman" w:hAnsi="Times New Roman" w:cs="Times New Roman"/>
          <w:sz w:val="24"/>
          <w:szCs w:val="24"/>
        </w:rPr>
        <w:t xml:space="preserve"> </w:t>
      </w:r>
      <w:r w:rsidRPr="004B27B7">
        <w:rPr>
          <w:rFonts w:ascii="Times New Roman" w:hAnsi="Times New Roman" w:cs="Times New Roman"/>
          <w:i/>
          <w:iCs/>
          <w:sz w:val="24"/>
          <w:szCs w:val="24"/>
        </w:rPr>
        <w:t>(external failure cost</w:t>
      </w:r>
      <w:r w:rsidRPr="004B27B7">
        <w:rPr>
          <w:rFonts w:ascii="Times New Roman" w:hAnsi="Times New Roman" w:cs="Times New Roman"/>
          <w:sz w:val="24"/>
          <w:szCs w:val="24"/>
        </w:rPr>
        <w:t>)</w:t>
      </w:r>
      <w:r w:rsidR="00177DFC">
        <w:rPr>
          <w:rFonts w:ascii="Times New Roman" w:hAnsi="Times New Roman" w:cs="Times New Roman"/>
          <w:sz w:val="24"/>
          <w:szCs w:val="24"/>
        </w:rPr>
        <w:t xml:space="preserve"> </w:t>
      </w:r>
      <w:r w:rsidRPr="004B27B7">
        <w:rPr>
          <w:rFonts w:ascii="Times New Roman" w:hAnsi="Times New Roman" w:cs="Times New Roman"/>
          <w:sz w:val="24"/>
          <w:szCs w:val="24"/>
        </w:rPr>
        <w:fldChar w:fldCharType="begin" w:fldLock="1"/>
      </w:r>
      <w:r w:rsidRPr="004B27B7">
        <w:rPr>
          <w:rFonts w:ascii="Times New Roman" w:hAnsi="Times New Roman" w:cs="Times New Roman"/>
          <w:sz w:val="24"/>
          <w:szCs w:val="24"/>
        </w:rPr>
        <w:instrText>ADDIN CSL_CITATION {"citationItems":[{"id":"ITEM-1","itemData":{"ISBN":"9780853283157","abstract":"Predicting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approach.","author":[{"dropping-particle":"","family":"Lusi Elviani Rangkuti","given":"","non-dropping-particle":"","parse-names":false,"suffix":""},{"dropping-particle":"","family":"Heny Triastuti Kurnianingsih","given":"","non-dropping-particle":"","parse-names":false,"suffix":""},{"dropping-particle":"","family":"Lusi Elviani Rangkuti","given":"","non-dropping-particle":"","parse-names":false,"suffix":""}],"container-title":"Angewandte Chemie International Edition, 6(11), 951–952.","id":"ITEM-1","issue":"October","issued":{"date-parts":[["2025"]]},"page":"68-86","title":"PENGARUH PENERAPAN GREEN ACCOUNTING DAN ENVIRONMENTAL COST TERHADAP PROFITABILITAS PADA PERUSAHAAN PERTAMBANGAN YANG TERDAFTAR DI BURSA EFEK INDONESIA","type":"article-journal","volume":"44"},"uris":["http://www.mendeley.com/documents/?uuid=7d570f24-2495-4716-8f25-033951c29c1b"]}],"mendeley":{"formattedCitation":"(Lusi Elviani Rangkuti et al., 2025)","plainTextFormattedCitation":"(Lusi Elviani Rangkuti et al., 2025)","previouslyFormattedCitation":"(Lusi Elviani Rangkuti et al., 2025)"},"properties":{"noteIndex":0},"schema":"https://github.com/citation-style-language/schema/raw/master/csl-citation.json"}</w:instrText>
      </w:r>
      <w:r w:rsidRPr="004B27B7">
        <w:rPr>
          <w:rFonts w:ascii="Times New Roman" w:hAnsi="Times New Roman" w:cs="Times New Roman"/>
          <w:sz w:val="24"/>
          <w:szCs w:val="24"/>
        </w:rPr>
        <w:fldChar w:fldCharType="separate"/>
      </w:r>
      <w:r w:rsidRPr="004B27B7">
        <w:rPr>
          <w:rFonts w:ascii="Times New Roman" w:hAnsi="Times New Roman" w:cs="Times New Roman"/>
          <w:noProof/>
          <w:sz w:val="24"/>
          <w:szCs w:val="24"/>
        </w:rPr>
        <w:t>(Lusi Elviani Rangkuti et al., 2025)</w:t>
      </w:r>
      <w:r w:rsidRPr="004B27B7">
        <w:rPr>
          <w:rFonts w:ascii="Times New Roman" w:hAnsi="Times New Roman" w:cs="Times New Roman"/>
          <w:sz w:val="24"/>
          <w:szCs w:val="24"/>
        </w:rPr>
        <w:fldChar w:fldCharType="end"/>
      </w:r>
      <w:r w:rsidRPr="004B27B7">
        <w:rPr>
          <w:rFonts w:ascii="Times New Roman" w:hAnsi="Times New Roman" w:cs="Times New Roman"/>
          <w:sz w:val="24"/>
          <w:szCs w:val="24"/>
        </w:rPr>
        <w:t xml:space="preserve">. Biaya lingkungan yang dikeluarkan oleh pelaku usaha dalam </w:t>
      </w:r>
      <w:r>
        <w:rPr>
          <w:rFonts w:ascii="Times New Roman" w:hAnsi="Times New Roman" w:cs="Times New Roman"/>
          <w:sz w:val="24"/>
          <w:szCs w:val="24"/>
        </w:rPr>
        <w:t xml:space="preserve">aktivitasnya </w:t>
      </w:r>
      <w:r w:rsidRPr="004B27B7">
        <w:rPr>
          <w:rFonts w:ascii="Times New Roman" w:hAnsi="Times New Roman" w:cs="Times New Roman"/>
          <w:sz w:val="24"/>
          <w:szCs w:val="24"/>
        </w:rPr>
        <w:t xml:space="preserve">merupakan </w:t>
      </w:r>
      <w:r>
        <w:rPr>
          <w:rFonts w:ascii="Times New Roman" w:hAnsi="Times New Roman" w:cs="Times New Roman"/>
          <w:sz w:val="24"/>
          <w:szCs w:val="24"/>
        </w:rPr>
        <w:t xml:space="preserve">konsekuensi </w:t>
      </w:r>
      <w:r w:rsidRPr="004B27B7">
        <w:rPr>
          <w:rFonts w:ascii="Times New Roman" w:hAnsi="Times New Roman" w:cs="Times New Roman"/>
          <w:sz w:val="24"/>
          <w:szCs w:val="24"/>
        </w:rPr>
        <w:t>dari upaya perusahaan dalam me</w:t>
      </w:r>
      <w:r>
        <w:rPr>
          <w:rFonts w:ascii="Times New Roman" w:hAnsi="Times New Roman" w:cs="Times New Roman"/>
          <w:sz w:val="24"/>
          <w:szCs w:val="24"/>
        </w:rPr>
        <w:t xml:space="preserve">lindungi </w:t>
      </w:r>
      <w:r w:rsidRPr="004B27B7">
        <w:rPr>
          <w:rFonts w:ascii="Times New Roman" w:hAnsi="Times New Roman" w:cs="Times New Roman"/>
          <w:sz w:val="24"/>
          <w:szCs w:val="24"/>
        </w:rPr>
        <w:t>lingkungan</w:t>
      </w:r>
      <w:r w:rsidR="00177DFC">
        <w:rPr>
          <w:rFonts w:ascii="Times New Roman" w:hAnsi="Times New Roman" w:cs="Times New Roman"/>
          <w:sz w:val="24"/>
          <w:szCs w:val="24"/>
        </w:rPr>
        <w:t xml:space="preserve"> </w:t>
      </w:r>
      <w:r w:rsidRPr="004B27B7">
        <w:rPr>
          <w:rFonts w:ascii="Times New Roman" w:hAnsi="Times New Roman" w:cs="Times New Roman"/>
          <w:sz w:val="24"/>
          <w:szCs w:val="24"/>
        </w:rPr>
        <w:fldChar w:fldCharType="begin" w:fldLock="1"/>
      </w:r>
      <w:r w:rsidRPr="004B27B7">
        <w:rPr>
          <w:rFonts w:ascii="Times New Roman" w:hAnsi="Times New Roman" w:cs="Times New Roman"/>
          <w:sz w:val="24"/>
          <w:szCs w:val="24"/>
        </w:rPr>
        <w:instrText>ADDIN CSL_CITATION {"citationItems":[{"id":"ITEM-1","itemData":{"abstract":"Penelitian ini bertujuan untuk mengetahui pengaruh kinerja lingkungan terhadap nilai perusahaan, kinerja lingkungan terhadap kinerja keuangan, kinerja keuangan terhadap nilai perusahaan dan kinerja lingkungan terhadap nilai perusahaan melalui kinerja keuangan sebagai variabel intervening pada perusahaan manufaktur sektor industri dasar dan kimia yang terdaftar di Bursa Efek Indonesia periode 2016-2020. Metode yang digunakan dalam penelitian ini adalah metode deskriptif. Metode pemilihan sampel yang digunakan dalam penelitian ini adalah metode purposive sampling diperoleh 65 sampel perusahaan sektor industri dasar dan kimia yang terdaftar di Bursa Efek Indonesia periode 2016-2020. Hasil penelitian ini menunjukkan bahwa terdapat pengaruh antara kinerja lingkungan terhadap nilai perusahaan, terdapat pengaruh antara kinerja keuangan terhadap nilai perusahaan, tidak terdapat pengaruh antara kinerja lingkungan terhadap kinerja keuangan dan kinerja keuangan tidak mampu memediasi antara kinerja lingkungan terhadap nilai perusahaan.","author":[{"dropping-particle":"","family":"Putri","given":"Yola Farista Utami","non-dropping-particle":"","parse-names":false,"suffix":""},{"dropping-particle":"","family":"Eni Indriani","given":"","non-dropping-particle":"","parse-names":false,"suffix":""},{"dropping-particle":"","family":"Hudaya","given":"Robith","non-dropping-particle":"","parse-names":false,"suffix":""}],"container-title":"INNOVATIVE: Journal Of Social Science Research","id":"ITEM-1","issue":"1","issued":{"date-parts":[["2024"]]},"page":"6337-6351","title":"Analisis Pengaruh Kinerja Lingkungan Dan Biaya Lingkungan Terhadap Nilai Perusahaan Dengan Kinerja Keuangan Sebagai Variabel Intervening","type":"article-journal","volume":"4"},"uris":["http://www.mendeley.com/documents/?uuid=b0f5ccfd-fdf8-4650-aeb2-15fca3deb084"]}],"mendeley":{"formattedCitation":"(Putri et al., 2024)","plainTextFormattedCitation":"(Putri et al., 2024)","previouslyFormattedCitation":"(Putri et al., 2024)"},"properties":{"noteIndex":0},"schema":"https://github.com/citation-style-language/schema/raw/master/csl-citation.json"}</w:instrText>
      </w:r>
      <w:r w:rsidRPr="004B27B7">
        <w:rPr>
          <w:rFonts w:ascii="Times New Roman" w:hAnsi="Times New Roman" w:cs="Times New Roman"/>
          <w:sz w:val="24"/>
          <w:szCs w:val="24"/>
        </w:rPr>
        <w:fldChar w:fldCharType="separate"/>
      </w:r>
      <w:r w:rsidRPr="004B27B7">
        <w:rPr>
          <w:rFonts w:ascii="Times New Roman" w:hAnsi="Times New Roman" w:cs="Times New Roman"/>
          <w:noProof/>
          <w:sz w:val="24"/>
          <w:szCs w:val="24"/>
        </w:rPr>
        <w:t>(Putri et al., 2024)</w:t>
      </w:r>
      <w:r w:rsidRPr="004B27B7">
        <w:rPr>
          <w:rFonts w:ascii="Times New Roman" w:hAnsi="Times New Roman" w:cs="Times New Roman"/>
          <w:sz w:val="24"/>
          <w:szCs w:val="24"/>
        </w:rPr>
        <w:fldChar w:fldCharType="end"/>
      </w:r>
      <w:r w:rsidRPr="004B27B7">
        <w:rPr>
          <w:rFonts w:ascii="Times New Roman" w:hAnsi="Times New Roman" w:cs="Times New Roman"/>
          <w:sz w:val="24"/>
          <w:szCs w:val="24"/>
        </w:rPr>
        <w:t>. Biaya lingkungan ini</w:t>
      </w:r>
      <w:r>
        <w:rPr>
          <w:rFonts w:ascii="Times New Roman" w:hAnsi="Times New Roman" w:cs="Times New Roman"/>
          <w:sz w:val="24"/>
          <w:szCs w:val="24"/>
        </w:rPr>
        <w:t xml:space="preserve"> perlu</w:t>
      </w:r>
      <w:r w:rsidRPr="004B27B7">
        <w:rPr>
          <w:rFonts w:ascii="Times New Roman" w:hAnsi="Times New Roman" w:cs="Times New Roman"/>
          <w:sz w:val="24"/>
          <w:szCs w:val="24"/>
        </w:rPr>
        <w:t xml:space="preserve"> di</w:t>
      </w:r>
      <w:r>
        <w:rPr>
          <w:rFonts w:ascii="Times New Roman" w:hAnsi="Times New Roman" w:cs="Times New Roman"/>
          <w:sz w:val="24"/>
          <w:szCs w:val="24"/>
        </w:rPr>
        <w:t>per</w:t>
      </w:r>
      <w:r w:rsidRPr="004B27B7">
        <w:rPr>
          <w:rFonts w:ascii="Times New Roman" w:hAnsi="Times New Roman" w:cs="Times New Roman"/>
          <w:sz w:val="24"/>
          <w:szCs w:val="24"/>
        </w:rPr>
        <w:t>hitung</w:t>
      </w:r>
      <w:r>
        <w:rPr>
          <w:rFonts w:ascii="Times New Roman" w:hAnsi="Times New Roman" w:cs="Times New Roman"/>
          <w:sz w:val="24"/>
          <w:szCs w:val="24"/>
        </w:rPr>
        <w:t>kan</w:t>
      </w:r>
      <w:r w:rsidRPr="004B27B7">
        <w:rPr>
          <w:rFonts w:ascii="Times New Roman" w:hAnsi="Times New Roman" w:cs="Times New Roman"/>
          <w:sz w:val="24"/>
          <w:szCs w:val="24"/>
        </w:rPr>
        <w:t xml:space="preserve"> karena tidak ter</w:t>
      </w:r>
      <w:r>
        <w:rPr>
          <w:rFonts w:ascii="Times New Roman" w:hAnsi="Times New Roman" w:cs="Times New Roman"/>
          <w:sz w:val="24"/>
          <w:szCs w:val="24"/>
        </w:rPr>
        <w:t>masuk</w:t>
      </w:r>
      <w:r w:rsidRPr="004B27B7">
        <w:rPr>
          <w:rFonts w:ascii="Times New Roman" w:hAnsi="Times New Roman" w:cs="Times New Roman"/>
          <w:sz w:val="24"/>
          <w:szCs w:val="24"/>
        </w:rPr>
        <w:t xml:space="preserve"> dalam anggaran. Laporan biaya lingkungan me</w:t>
      </w:r>
      <w:r>
        <w:rPr>
          <w:rFonts w:ascii="Times New Roman" w:hAnsi="Times New Roman" w:cs="Times New Roman"/>
          <w:sz w:val="24"/>
          <w:szCs w:val="24"/>
        </w:rPr>
        <w:t>mberikan</w:t>
      </w:r>
      <w:r w:rsidRPr="004B27B7">
        <w:rPr>
          <w:rFonts w:ascii="Times New Roman" w:hAnsi="Times New Roman" w:cs="Times New Roman"/>
          <w:sz w:val="24"/>
          <w:szCs w:val="24"/>
        </w:rPr>
        <w:t xml:space="preserve"> informasi</w:t>
      </w:r>
      <w:r>
        <w:rPr>
          <w:rFonts w:ascii="Times New Roman" w:hAnsi="Times New Roman" w:cs="Times New Roman"/>
          <w:sz w:val="24"/>
          <w:szCs w:val="24"/>
        </w:rPr>
        <w:t xml:space="preserve"> data</w:t>
      </w:r>
      <w:r w:rsidRPr="004B27B7">
        <w:rPr>
          <w:rFonts w:ascii="Times New Roman" w:hAnsi="Times New Roman" w:cs="Times New Roman"/>
          <w:sz w:val="24"/>
          <w:szCs w:val="24"/>
        </w:rPr>
        <w:t xml:space="preserve"> krusial bagi pemangku kepentingan internal serta eksternal </w:t>
      </w:r>
      <w:r>
        <w:rPr>
          <w:rFonts w:ascii="Times New Roman" w:hAnsi="Times New Roman" w:cs="Times New Roman"/>
          <w:sz w:val="24"/>
          <w:szCs w:val="24"/>
        </w:rPr>
        <w:t xml:space="preserve">untuk </w:t>
      </w:r>
      <w:r w:rsidRPr="004B27B7">
        <w:rPr>
          <w:rFonts w:ascii="Times New Roman" w:hAnsi="Times New Roman" w:cs="Times New Roman"/>
          <w:sz w:val="24"/>
          <w:szCs w:val="24"/>
        </w:rPr>
        <w:t xml:space="preserve">mendukung keputusan terkait </w:t>
      </w:r>
      <w:r>
        <w:rPr>
          <w:rFonts w:ascii="Times New Roman" w:hAnsi="Times New Roman" w:cs="Times New Roman"/>
          <w:sz w:val="24"/>
          <w:szCs w:val="24"/>
        </w:rPr>
        <w:t>pengaruh</w:t>
      </w:r>
      <w:r w:rsidRPr="004B27B7">
        <w:rPr>
          <w:rFonts w:ascii="Times New Roman" w:hAnsi="Times New Roman" w:cs="Times New Roman"/>
          <w:sz w:val="24"/>
          <w:szCs w:val="24"/>
        </w:rPr>
        <w:t xml:space="preserve"> lingkungan</w:t>
      </w:r>
      <w:r w:rsidR="00177DFC">
        <w:rPr>
          <w:rFonts w:ascii="Times New Roman" w:hAnsi="Times New Roman" w:cs="Times New Roman"/>
          <w:sz w:val="24"/>
          <w:szCs w:val="24"/>
        </w:rPr>
        <w:t xml:space="preserve"> </w:t>
      </w:r>
      <w:r w:rsidRPr="004B27B7">
        <w:rPr>
          <w:rFonts w:ascii="Times New Roman" w:hAnsi="Times New Roman" w:cs="Times New Roman"/>
          <w:sz w:val="24"/>
          <w:szCs w:val="24"/>
        </w:rPr>
        <w:fldChar w:fldCharType="begin" w:fldLock="1"/>
      </w:r>
      <w:r w:rsidRPr="004B27B7">
        <w:rPr>
          <w:rFonts w:ascii="Times New Roman" w:hAnsi="Times New Roman" w:cs="Times New Roman"/>
          <w:sz w:val="24"/>
          <w:szCs w:val="24"/>
        </w:rPr>
        <w:instrText>ADDIN CSL_CITATION {"citationItems":[{"id":"ITEM-1","itemData":{"DOI":"10.31000/bvaj.v9i1.13892","abstract":"Financial Performance is an analysis conducted to see the extent to which a company has run its business using financial implementation rules properly and correctly (Fahmi, 2014). There are several variables that can affect Financial Performance, which are focused on in this study are Green Accounting (GA) and Corporate Social Responsibility (CSR). GA is an accounting practice that considers the environmental impact of business activities. This includes measuring the costs and benefits associated with the use of natural resources and waste produced. GA can have a significant impact on a company's financial performance. The next variable is CSR. CSR has the potential to provide a significant positive impact on a company's financial performance. Although there are initial costs to be borne, long-term benefits, such as increased reputation, customer loyalty, and access to capital, can result in better financial performance. The purpose of the study was to test and provide empirical evidence of the influence of independent variables, namely Green Accounting as measured by Proper Performance Rating and Corporate Social Responsibility (CSR) as measured by LN Charitable Donations on the dependent variable, namely Financial Performance as measured by Return On Asset (ROA). This study will further use multiple regression analysis which begins with descriptive statistical testing, classical assumption testing and hypothesis testing. Data testing is assisted by using the SPSS program. The result of this study show that GA has an effect to FP and CSR has no effect on FP","author":[{"dropping-particle":"","family":"Silvia Fitriana","given":"Sobrotul Imtikhanah","non-dropping-particle":"","parse-names":false,"suffix":""}],"container-title":"Balance Vocation Accounting Journal","id":"ITEM-1","issue":"1","issued":{"date-parts":[["2025"]]},"page":"36","title":"The Effect Of Green Accounting And Corporate Social Responsibility On Financial Performance","type":"article-journal","volume":"9"},"uris":["http://www.mendeley.com/documents/?uuid=c3240579-427c-4d4e-a028-f5150240a624"]}],"mendeley":{"formattedCitation":"(Silvia Fitriana, 2025)","plainTextFormattedCitation":"(Silvia Fitriana, 2025)","previouslyFormattedCitation":"(Silvia Fitriana, 2025)"},"properties":{"noteIndex":0},"schema":"https://github.com/citation-style-language/schema/raw/master/csl-citation.json"}</w:instrText>
      </w:r>
      <w:r w:rsidRPr="004B27B7">
        <w:rPr>
          <w:rFonts w:ascii="Times New Roman" w:hAnsi="Times New Roman" w:cs="Times New Roman"/>
          <w:sz w:val="24"/>
          <w:szCs w:val="24"/>
        </w:rPr>
        <w:fldChar w:fldCharType="separate"/>
      </w:r>
      <w:r w:rsidRPr="004B27B7">
        <w:rPr>
          <w:rFonts w:ascii="Times New Roman" w:hAnsi="Times New Roman" w:cs="Times New Roman"/>
          <w:noProof/>
          <w:sz w:val="24"/>
          <w:szCs w:val="24"/>
        </w:rPr>
        <w:t>(Silvia Fitriana, 2025)</w:t>
      </w:r>
      <w:r w:rsidRPr="004B27B7">
        <w:rPr>
          <w:rFonts w:ascii="Times New Roman" w:hAnsi="Times New Roman" w:cs="Times New Roman"/>
          <w:sz w:val="24"/>
          <w:szCs w:val="24"/>
        </w:rPr>
        <w:fldChar w:fldCharType="end"/>
      </w:r>
      <w:r w:rsidR="00177DFC">
        <w:rPr>
          <w:rFonts w:ascii="Times New Roman" w:hAnsi="Times New Roman" w:cs="Times New Roman"/>
          <w:sz w:val="24"/>
          <w:szCs w:val="24"/>
        </w:rPr>
        <w:t>.</w:t>
      </w:r>
    </w:p>
    <w:p w14:paraId="2C7977B3" w14:textId="77777777" w:rsidR="003909BF" w:rsidRDefault="00000000" w:rsidP="003909BF">
      <w:pPr>
        <w:spacing w:line="360" w:lineRule="auto"/>
        <w:jc w:val="both"/>
        <w:rPr>
          <w:rFonts w:ascii="Times New Roman" w:hAnsi="Times New Roman" w:cs="Times New Roman"/>
          <w:sz w:val="24"/>
          <w:szCs w:val="24"/>
        </w:rPr>
      </w:pPr>
      <w:r w:rsidRPr="004B27B7">
        <w:rPr>
          <w:rFonts w:ascii="Times New Roman" w:hAnsi="Times New Roman" w:cs="Times New Roman"/>
          <w:b/>
          <w:bCs/>
          <w:sz w:val="24"/>
          <w:szCs w:val="24"/>
        </w:rPr>
        <w:t>Profitabilitas</w:t>
      </w:r>
    </w:p>
    <w:p w14:paraId="77EC31CD" w14:textId="583467D3" w:rsidR="003909BF" w:rsidRDefault="00000000" w:rsidP="003909BF">
      <w:pPr>
        <w:spacing w:line="360" w:lineRule="auto"/>
        <w:ind w:firstLine="720"/>
        <w:jc w:val="both"/>
        <w:rPr>
          <w:rFonts w:ascii="Times New Roman" w:hAnsi="Times New Roman" w:cs="Times New Roman"/>
          <w:sz w:val="24"/>
          <w:szCs w:val="24"/>
        </w:rPr>
      </w:pPr>
      <w:r w:rsidRPr="004B27B7">
        <w:rPr>
          <w:rFonts w:ascii="Times New Roman" w:hAnsi="Times New Roman" w:cs="Times New Roman"/>
          <w:sz w:val="24"/>
          <w:szCs w:val="24"/>
        </w:rPr>
        <w:t xml:space="preserve">Menurut Sofyan Safri Hararap, </w:t>
      </w:r>
      <w:r w:rsidR="00310A87" w:rsidRPr="00310A87">
        <w:rPr>
          <w:rFonts w:ascii="Times New Roman" w:hAnsi="Times New Roman" w:cs="Times New Roman"/>
          <w:sz w:val="24"/>
          <w:szCs w:val="24"/>
        </w:rPr>
        <w:t>profitabilitas adalah cerminan dari kemampuan perusahaan dalam memperoleh keuntungan melalui semua potensi dan sumber daya yang ada</w:t>
      </w:r>
      <w:r w:rsidR="00310A87" w:rsidRPr="00310A87">
        <w:rPr>
          <w:rFonts w:ascii="Times New Roman" w:hAnsi="Times New Roman" w:cs="Times New Roman"/>
          <w:i/>
          <w:iCs/>
          <w:sz w:val="24"/>
          <w:szCs w:val="24"/>
        </w:rPr>
        <w:t>,</w:t>
      </w:r>
      <w:r w:rsidR="00310A87">
        <w:rPr>
          <w:rFonts w:ascii="Times New Roman" w:hAnsi="Times New Roman" w:cs="Times New Roman"/>
          <w:i/>
          <w:iCs/>
          <w:sz w:val="24"/>
          <w:szCs w:val="24"/>
        </w:rPr>
        <w:t xml:space="preserve"> </w:t>
      </w:r>
      <w:r w:rsidRPr="004B27B7">
        <w:rPr>
          <w:rFonts w:ascii="Times New Roman" w:hAnsi="Times New Roman" w:cs="Times New Roman"/>
          <w:sz w:val="24"/>
          <w:szCs w:val="24"/>
        </w:rPr>
        <w:t xml:space="preserve">seperti kas, modal, aktivitas pemasaran, jumlah </w:t>
      </w:r>
      <w:r w:rsidR="00310A87">
        <w:rPr>
          <w:rFonts w:ascii="Times New Roman" w:hAnsi="Times New Roman" w:cs="Times New Roman"/>
          <w:sz w:val="24"/>
          <w:szCs w:val="24"/>
        </w:rPr>
        <w:t>karyawan</w:t>
      </w:r>
      <w:r w:rsidRPr="004B27B7">
        <w:rPr>
          <w:rFonts w:ascii="Times New Roman" w:hAnsi="Times New Roman" w:cs="Times New Roman"/>
          <w:sz w:val="24"/>
          <w:szCs w:val="24"/>
        </w:rPr>
        <w:t xml:space="preserve"> serta cabang dan sejenisnya</w:t>
      </w:r>
      <w:r w:rsidR="00177DFC">
        <w:rPr>
          <w:rFonts w:ascii="Times New Roman" w:hAnsi="Times New Roman" w:cs="Times New Roman"/>
          <w:sz w:val="24"/>
          <w:szCs w:val="24"/>
        </w:rPr>
        <w:t xml:space="preserve"> </w:t>
      </w:r>
      <w:r w:rsidRPr="004B27B7">
        <w:rPr>
          <w:rFonts w:ascii="Times New Roman" w:hAnsi="Times New Roman" w:cs="Times New Roman"/>
          <w:sz w:val="24"/>
          <w:szCs w:val="24"/>
        </w:rPr>
        <w:fldChar w:fldCharType="begin" w:fldLock="1"/>
      </w:r>
      <w:r w:rsidRPr="004B27B7">
        <w:rPr>
          <w:rFonts w:ascii="Times New Roman" w:hAnsi="Times New Roman" w:cs="Times New Roman"/>
          <w:sz w:val="24"/>
          <w:szCs w:val="24"/>
        </w:rPr>
        <w:instrText>ADDIN CSL_CITATION {"citationItems":[{"id":"ITEM-1","itemData":{"abstract":"</w:instrText>
      </w:r>
      <w:r w:rsidRPr="004B27B7">
        <w:rPr>
          <w:rFonts w:ascii="Times New Roman" w:hAnsi="Times New Roman" w:cs="Times New Roman"/>
          <w:sz w:val="24"/>
          <w:szCs w:val="24"/>
          <w:rtl/>
        </w:rPr>
        <w:instrText>ביקורת ספרות</w:instrText>
      </w:r>
      <w:r w:rsidRPr="004B27B7">
        <w:rPr>
          <w:rFonts w:ascii="Times New Roman" w:hAnsi="Times New Roman" w:cs="Times New Roman"/>
          <w:sz w:val="24"/>
          <w:szCs w:val="24"/>
        </w:rPr>
        <w:instrText>, \"</w:instrText>
      </w:r>
      <w:r w:rsidRPr="004B27B7">
        <w:rPr>
          <w:rFonts w:ascii="Times New Roman" w:hAnsi="Times New Roman" w:cs="Times New Roman"/>
          <w:sz w:val="24"/>
          <w:szCs w:val="24"/>
          <w:rtl/>
        </w:rPr>
        <w:instrText>הבז</w:instrText>
      </w:r>
      <w:r w:rsidRPr="004B27B7">
        <w:rPr>
          <w:rFonts w:ascii="Times New Roman" w:hAnsi="Times New Roman" w:cs="Times New Roman"/>
          <w:sz w:val="24"/>
          <w:szCs w:val="24"/>
        </w:rPr>
        <w:instrText xml:space="preserve">\", </w:instrText>
      </w:r>
      <w:r w:rsidRPr="004B27B7">
        <w:rPr>
          <w:rFonts w:ascii="Times New Roman" w:hAnsi="Times New Roman" w:cs="Times New Roman"/>
          <w:sz w:val="24"/>
          <w:szCs w:val="24"/>
          <w:rtl/>
        </w:rPr>
        <w:instrText>ספרות טבע</w:instrText>
      </w:r>
      <w:r w:rsidRPr="004B27B7">
        <w:rPr>
          <w:rFonts w:ascii="Times New Roman" w:hAnsi="Times New Roman" w:cs="Times New Roman"/>
          <w:sz w:val="24"/>
          <w:szCs w:val="24"/>
        </w:rPr>
        <w:instrText>,","author":[{"dropping-particle":"","family":"Widiastuti","given":"Wahyu Deni","non-dropping-particle":"","parse-names":false,"suffix":""}],"id":"ITEM-1","issue":"8.5.2017","issued":{"date-parts":[["2022"]]},"page":"2003-2005","title":"PENGARUH GREEN ACCOUNTING DAN PROFITABILITAS TERHADAP KINERJA LINGKUNGAN PADA PERUSAHAAN MANUFAKTUR TAHUN 2019-2021","type":"article-journal","volume":"5"},"uris":["http://www.mendeley.com/documents/?uuid=81b2012d-7953-4a13-a2e2-8bc524b7fc23"]}],"mendeley":{"formattedCitation":"(Widiastuti, 2022)","plainTextFormattedCitation":"(Widiastuti, 2022)","previouslyFormattedCitation":"(Widiastuti, 2022)"},"properties":{"noteIndex":0},"schema":"https://github.com/citation-style-language/schema/raw/master/csl-citation.json"}</w:instrText>
      </w:r>
      <w:r w:rsidRPr="004B27B7">
        <w:rPr>
          <w:rFonts w:ascii="Times New Roman" w:hAnsi="Times New Roman" w:cs="Times New Roman"/>
          <w:sz w:val="24"/>
          <w:szCs w:val="24"/>
        </w:rPr>
        <w:fldChar w:fldCharType="separate"/>
      </w:r>
      <w:r w:rsidRPr="004B27B7">
        <w:rPr>
          <w:rFonts w:ascii="Times New Roman" w:hAnsi="Times New Roman" w:cs="Times New Roman"/>
          <w:noProof/>
          <w:sz w:val="24"/>
          <w:szCs w:val="24"/>
        </w:rPr>
        <w:t>(Widiastuti, 2022)</w:t>
      </w:r>
      <w:r w:rsidRPr="004B27B7">
        <w:rPr>
          <w:rFonts w:ascii="Times New Roman" w:hAnsi="Times New Roman" w:cs="Times New Roman"/>
          <w:sz w:val="24"/>
          <w:szCs w:val="24"/>
        </w:rPr>
        <w:fldChar w:fldCharType="end"/>
      </w:r>
      <w:r w:rsidRPr="004B27B7">
        <w:rPr>
          <w:rFonts w:ascii="Times New Roman" w:hAnsi="Times New Roman" w:cs="Times New Roman"/>
          <w:sz w:val="24"/>
          <w:szCs w:val="24"/>
        </w:rPr>
        <w:t xml:space="preserve">. Menurut Nirawati et al. (2022) </w:t>
      </w:r>
      <w:r w:rsidR="00310A87" w:rsidRPr="00310A87">
        <w:rPr>
          <w:rFonts w:ascii="Times New Roman" w:hAnsi="Times New Roman" w:cs="Times New Roman"/>
          <w:sz w:val="24"/>
          <w:szCs w:val="24"/>
        </w:rPr>
        <w:t>profitabilitas menggambarkan proporsi keberhasilan suatu perusahaan dalam meraih laba yang diinginkan. Di samping itu, profitabilitas juga berperan dalam menilai kinerja perusahaan dan mengawasi perkembangan laba secara berkala</w:t>
      </w:r>
      <w:r w:rsidR="00177DFC">
        <w:rPr>
          <w:rFonts w:ascii="Times New Roman" w:hAnsi="Times New Roman" w:cs="Times New Roman"/>
          <w:sz w:val="24"/>
          <w:szCs w:val="24"/>
        </w:rPr>
        <w:t xml:space="preserve"> </w:t>
      </w:r>
      <w:r w:rsidRPr="004B27B7">
        <w:rPr>
          <w:rFonts w:ascii="Times New Roman" w:hAnsi="Times New Roman" w:cs="Times New Roman"/>
          <w:sz w:val="24"/>
          <w:szCs w:val="24"/>
        </w:rPr>
        <w:fldChar w:fldCharType="begin" w:fldLock="1"/>
      </w:r>
      <w:r w:rsidRPr="004B27B7">
        <w:rPr>
          <w:rFonts w:ascii="Times New Roman" w:hAnsi="Times New Roman" w:cs="Times New Roman"/>
          <w:sz w:val="24"/>
          <w:szCs w:val="24"/>
        </w:rPr>
        <w:instrText>ADDIN CSL_CITATION {"citationItems":[{"id":"ITEM-1","itemData":{"author":[{"dropping-particle":"","family":"Kartika Wulandhari","given":"Nera Marinda Machdar","non-dropping-particle":"","parse-names":false,"suffix":""}],"id":"ITEM-1","issued":{"date-parts":[["2025"]]},"title":"Kontribusi Biaya Lingkungan , Green Accounting , CSR , dan Ukuran","type":"article-journal","volume":"3"},"uris":["http://www.mendeley.com/documents/?uuid=8f886ab8-edfd-49a8-bc1e-e0deee2ff1b7"]}],"mendeley":{"formattedCitation":"(Kartika Wulandhari, 2025)","plainTextFormattedCitation":"(Kartika Wulandhari, 2025)","previouslyFormattedCitation":"(Kartika Wulandhari, 2025)"},"properties":{"noteIndex":0},"schema":"https://github.com/citation-style-language/schema/raw/master/csl-citation.json"}</w:instrText>
      </w:r>
      <w:r w:rsidRPr="004B27B7">
        <w:rPr>
          <w:rFonts w:ascii="Times New Roman" w:hAnsi="Times New Roman" w:cs="Times New Roman"/>
          <w:sz w:val="24"/>
          <w:szCs w:val="24"/>
        </w:rPr>
        <w:fldChar w:fldCharType="separate"/>
      </w:r>
      <w:r w:rsidRPr="004B27B7">
        <w:rPr>
          <w:rFonts w:ascii="Times New Roman" w:hAnsi="Times New Roman" w:cs="Times New Roman"/>
          <w:noProof/>
          <w:sz w:val="24"/>
          <w:szCs w:val="24"/>
        </w:rPr>
        <w:t>(Kartika Wulandhari, 2025)</w:t>
      </w:r>
      <w:r w:rsidRPr="004B27B7">
        <w:rPr>
          <w:rFonts w:ascii="Times New Roman" w:hAnsi="Times New Roman" w:cs="Times New Roman"/>
          <w:sz w:val="24"/>
          <w:szCs w:val="24"/>
        </w:rPr>
        <w:fldChar w:fldCharType="end"/>
      </w:r>
      <w:r w:rsidRPr="004B27B7">
        <w:rPr>
          <w:rFonts w:ascii="Times New Roman" w:hAnsi="Times New Roman" w:cs="Times New Roman"/>
          <w:sz w:val="24"/>
          <w:szCs w:val="24"/>
        </w:rPr>
        <w:t xml:space="preserve">. </w:t>
      </w:r>
      <w:r w:rsidR="00310A87">
        <w:rPr>
          <w:rFonts w:ascii="Times New Roman" w:hAnsi="Times New Roman" w:cs="Times New Roman"/>
          <w:sz w:val="24"/>
          <w:szCs w:val="24"/>
        </w:rPr>
        <w:t xml:space="preserve">Menurut </w:t>
      </w:r>
      <w:r w:rsidRPr="004B27B7">
        <w:rPr>
          <w:rFonts w:ascii="Times New Roman" w:hAnsi="Times New Roman" w:cs="Times New Roman"/>
          <w:sz w:val="24"/>
          <w:szCs w:val="24"/>
        </w:rPr>
        <w:t xml:space="preserve">Hartini &amp; Hardianti (2022) </w:t>
      </w:r>
      <w:r w:rsidR="00310A87" w:rsidRPr="00310A87">
        <w:rPr>
          <w:rFonts w:ascii="Times New Roman" w:hAnsi="Times New Roman" w:cs="Times New Roman"/>
          <w:sz w:val="24"/>
          <w:szCs w:val="24"/>
        </w:rPr>
        <w:t>menyatakan bahwa profitabilitas akan meningkat jika perputaran total aset dalam suatu periode juga tinggi, disebabkan oleh efisiensi dalam penggunaan aset</w:t>
      </w:r>
      <w:r w:rsidR="00310A87">
        <w:rPr>
          <w:rFonts w:ascii="Times New Roman" w:hAnsi="Times New Roman" w:cs="Times New Roman"/>
          <w:sz w:val="24"/>
          <w:szCs w:val="24"/>
        </w:rPr>
        <w:t xml:space="preserve">. </w:t>
      </w:r>
      <w:r w:rsidR="00310A87" w:rsidRPr="00310A87">
        <w:rPr>
          <w:rFonts w:ascii="Times New Roman" w:hAnsi="Times New Roman" w:cs="Times New Roman"/>
          <w:sz w:val="24"/>
          <w:szCs w:val="24"/>
        </w:rPr>
        <w:t xml:space="preserve">Kondisi </w:t>
      </w:r>
      <w:r w:rsidR="00310A87">
        <w:rPr>
          <w:rFonts w:ascii="Times New Roman" w:hAnsi="Times New Roman" w:cs="Times New Roman"/>
          <w:sz w:val="24"/>
          <w:szCs w:val="24"/>
        </w:rPr>
        <w:t xml:space="preserve">tersebut </w:t>
      </w:r>
      <w:r w:rsidR="00310A87" w:rsidRPr="00310A87">
        <w:rPr>
          <w:rFonts w:ascii="Times New Roman" w:hAnsi="Times New Roman" w:cs="Times New Roman"/>
          <w:sz w:val="24"/>
          <w:szCs w:val="24"/>
        </w:rPr>
        <w:t>menunjukkan bahwa pemanfaatan aset secara efisien menghasilkan penjualan yang diikuti dengan laba yang diperoleh</w:t>
      </w:r>
      <w:r w:rsidR="00177DFC">
        <w:rPr>
          <w:rFonts w:ascii="Times New Roman" w:hAnsi="Times New Roman" w:cs="Times New Roman"/>
          <w:sz w:val="24"/>
          <w:szCs w:val="24"/>
        </w:rPr>
        <w:t xml:space="preserve"> </w:t>
      </w:r>
      <w:r w:rsidRPr="004B27B7">
        <w:rPr>
          <w:rFonts w:ascii="Times New Roman" w:hAnsi="Times New Roman" w:cs="Times New Roman"/>
          <w:sz w:val="24"/>
          <w:szCs w:val="24"/>
        </w:rPr>
        <w:fldChar w:fldCharType="begin" w:fldLock="1"/>
      </w:r>
      <w:r w:rsidRPr="004B27B7">
        <w:rPr>
          <w:rFonts w:ascii="Times New Roman" w:hAnsi="Times New Roman" w:cs="Times New Roman"/>
          <w:sz w:val="24"/>
          <w:szCs w:val="24"/>
        </w:rPr>
        <w:instrText>ADDIN CSL_CITATION {"citationItems":[{"id":"ITEM-1","itemData":{"DOI":"10.54371/jiip.v7i1.3151","abstract":"Tujuan utama mendirikan sebuah perusahaan untuk memaksimalkan laba. Suatu indikator yang menjelaskan kemampuan perusahaan dalam menghasilkan laba dapat menggunakan tingkat profitabilitas Penelitian ini menguji pengaruh perputaran kas, perputaran total aset, ukuran perusahaan dan likuiditas terhadap profitabilitas. Metode purposive sampling digunakan untuk pengambilan sampel terhadap data sekunder laporan tahunan 9 perusahaan farmasi yang terdaftar di Bursa Efek Indonesia dengan periode penelitian selama 4 tahun 2019-2022. Data dianalisis menggunakan regresi linier berganda dengan alat SPSS versi 25. Perputaran kas diukur dengan Cash Turnover Ratio, Perputaran Total Aset diukur dengan Total Asset Turnover Ratio, Ukuran Perusahaan diukur dengan Ln Total Asset, Likuiditas diukur dengan Current Ratio, dan Profitabilitas diukur dengan Return On Asset. Temuan dalam penelitian ini menunjukkan bahwa perputaran kas signifikan berpengaruh negatif terhadap profitabilitas, sedangkan perputaran kas signifikan berpengaruh positif. Selanjutnya, ukuran perusahaan dan likuiditas tidak berpengaruh terhadap profitabilitas. Implikasi dari penelitian memberi masukan kepada perusahaan pentingnya dalam mengelola aset seperti kas dan juga total aset dalam rangka meningkatkan profitabilitas, karena apabila perusahaan baik atau maksimal maka perusahaan dapat dengan mudah mencapi tujuan-tujuan perusahaan yang lain.","author":[{"dropping-particle":"","family":"Alimah","given":"Afifatul","non-dropping-particle":"","parse-names":false,"suffix":""},{"dropping-particle":"","family":"Sihono","given":"Agus","non-dropping-particle":"","parse-names":false,"suffix":""}],"container-title":"JIIP - Jurnal Ilmiah Ilmu Pendidikan","id":"ITEM-1","issue":"1","issued":{"date-parts":[["2024"]]},"page":"117-126","title":"Analisis Faktor-Faktor yang Mempengaruhi Profitabilitas","type":"article-journal","volume":"7"},"uris":["http://www.mendeley.com/documents/?uuid=1fddc0f2-28c5-4be6-96ad-f09faac8f6df"]}],"mendeley":{"formattedCitation":"(Alimah &amp; Sihono, 2024)","plainTextFormattedCitation":"(Alimah &amp; Sihono, 2024)","previouslyFormattedCitation":"(Alimah &amp; Sihono, 2024)"},"properties":{"noteIndex":0},"schema":"https://github.com/citation-style-language/schema/raw/master/csl-citation.json"}</w:instrText>
      </w:r>
      <w:r w:rsidRPr="004B27B7">
        <w:rPr>
          <w:rFonts w:ascii="Times New Roman" w:hAnsi="Times New Roman" w:cs="Times New Roman"/>
          <w:sz w:val="24"/>
          <w:szCs w:val="24"/>
        </w:rPr>
        <w:fldChar w:fldCharType="separate"/>
      </w:r>
      <w:r w:rsidRPr="004B27B7">
        <w:rPr>
          <w:rFonts w:ascii="Times New Roman" w:hAnsi="Times New Roman" w:cs="Times New Roman"/>
          <w:noProof/>
          <w:sz w:val="24"/>
          <w:szCs w:val="24"/>
        </w:rPr>
        <w:t>(Alimah &amp; Sihono, 2024)</w:t>
      </w:r>
      <w:r w:rsidRPr="004B27B7">
        <w:rPr>
          <w:rFonts w:ascii="Times New Roman" w:hAnsi="Times New Roman" w:cs="Times New Roman"/>
          <w:sz w:val="24"/>
          <w:szCs w:val="24"/>
        </w:rPr>
        <w:fldChar w:fldCharType="end"/>
      </w:r>
      <w:r w:rsidRPr="004B27B7">
        <w:rPr>
          <w:rFonts w:ascii="Times New Roman" w:hAnsi="Times New Roman" w:cs="Times New Roman"/>
          <w:sz w:val="24"/>
          <w:szCs w:val="24"/>
        </w:rPr>
        <w:t>.</w:t>
      </w:r>
    </w:p>
    <w:p w14:paraId="733F6FB0" w14:textId="6E826EA5" w:rsidR="004B27B7" w:rsidRPr="00310A87" w:rsidRDefault="00310A87" w:rsidP="003909B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Terdapat lima jenis rasio profitabilitas</w:t>
      </w:r>
      <w:r w:rsidRPr="004B27B7">
        <w:rPr>
          <w:rFonts w:ascii="Times New Roman" w:hAnsi="Times New Roman" w:cs="Times New Roman"/>
          <w:sz w:val="24"/>
          <w:szCs w:val="24"/>
        </w:rPr>
        <w:t xml:space="preserve">, yaitu: </w:t>
      </w:r>
      <w:r w:rsidRPr="004B27B7">
        <w:rPr>
          <w:rFonts w:ascii="Times New Roman" w:hAnsi="Times New Roman" w:cs="Times New Roman"/>
          <w:i/>
          <w:iCs/>
          <w:sz w:val="24"/>
          <w:szCs w:val="24"/>
        </w:rPr>
        <w:t>Profit Margin</w:t>
      </w:r>
      <w:r w:rsidRPr="004B27B7">
        <w:rPr>
          <w:rFonts w:ascii="Times New Roman" w:hAnsi="Times New Roman" w:cs="Times New Roman"/>
          <w:sz w:val="24"/>
          <w:szCs w:val="24"/>
        </w:rPr>
        <w:t xml:space="preserve"> (margin laba kotor dan laba bersih), </w:t>
      </w:r>
      <w:r w:rsidRPr="004B27B7">
        <w:rPr>
          <w:rFonts w:ascii="Times New Roman" w:hAnsi="Times New Roman" w:cs="Times New Roman"/>
          <w:i/>
          <w:iCs/>
          <w:sz w:val="24"/>
          <w:szCs w:val="24"/>
        </w:rPr>
        <w:t xml:space="preserve">Return on Investment </w:t>
      </w:r>
      <w:r w:rsidRPr="004B27B7">
        <w:rPr>
          <w:rFonts w:ascii="Times New Roman" w:hAnsi="Times New Roman" w:cs="Times New Roman"/>
          <w:sz w:val="24"/>
          <w:szCs w:val="24"/>
        </w:rPr>
        <w:t xml:space="preserve">(ROI), </w:t>
      </w:r>
      <w:r w:rsidRPr="004B27B7">
        <w:rPr>
          <w:rFonts w:ascii="Times New Roman" w:hAnsi="Times New Roman" w:cs="Times New Roman"/>
          <w:i/>
          <w:iCs/>
          <w:sz w:val="24"/>
          <w:szCs w:val="24"/>
        </w:rPr>
        <w:t>Return on Assets</w:t>
      </w:r>
      <w:r w:rsidRPr="004B27B7">
        <w:rPr>
          <w:rFonts w:ascii="Times New Roman" w:hAnsi="Times New Roman" w:cs="Times New Roman"/>
          <w:sz w:val="24"/>
          <w:szCs w:val="24"/>
        </w:rPr>
        <w:t xml:space="preserve"> (ROA), </w:t>
      </w:r>
      <w:r w:rsidRPr="004B27B7">
        <w:rPr>
          <w:rFonts w:ascii="Times New Roman" w:hAnsi="Times New Roman" w:cs="Times New Roman"/>
          <w:i/>
          <w:iCs/>
          <w:sz w:val="24"/>
          <w:szCs w:val="24"/>
        </w:rPr>
        <w:t>Return on Equity</w:t>
      </w:r>
      <w:r w:rsidRPr="004B27B7">
        <w:rPr>
          <w:rFonts w:ascii="Times New Roman" w:hAnsi="Times New Roman" w:cs="Times New Roman"/>
          <w:sz w:val="24"/>
          <w:szCs w:val="24"/>
        </w:rPr>
        <w:t xml:space="preserve"> (ROE), serta </w:t>
      </w:r>
      <w:r w:rsidRPr="004B27B7">
        <w:rPr>
          <w:rFonts w:ascii="Times New Roman" w:hAnsi="Times New Roman" w:cs="Times New Roman"/>
          <w:i/>
          <w:iCs/>
          <w:sz w:val="24"/>
          <w:szCs w:val="24"/>
        </w:rPr>
        <w:t>Earnings Per Share</w:t>
      </w:r>
      <w:r w:rsidRPr="004B27B7">
        <w:rPr>
          <w:rFonts w:ascii="Times New Roman" w:hAnsi="Times New Roman" w:cs="Times New Roman"/>
          <w:sz w:val="24"/>
          <w:szCs w:val="24"/>
        </w:rPr>
        <w:t xml:space="preserve"> (EPS) atau laba per lembar saham</w:t>
      </w:r>
      <w:r w:rsidR="00177DFC">
        <w:rPr>
          <w:rFonts w:ascii="Times New Roman" w:hAnsi="Times New Roman" w:cs="Times New Roman"/>
          <w:sz w:val="24"/>
          <w:szCs w:val="24"/>
        </w:rPr>
        <w:t xml:space="preserve"> </w:t>
      </w:r>
      <w:r w:rsidRPr="004B27B7">
        <w:rPr>
          <w:rFonts w:ascii="Times New Roman" w:hAnsi="Times New Roman" w:cs="Times New Roman"/>
          <w:sz w:val="24"/>
          <w:szCs w:val="24"/>
        </w:rPr>
        <w:fldChar w:fldCharType="begin" w:fldLock="1"/>
      </w:r>
      <w:r w:rsidRPr="004B27B7">
        <w:rPr>
          <w:rFonts w:ascii="Times New Roman" w:hAnsi="Times New Roman" w:cs="Times New Roman"/>
          <w:sz w:val="24"/>
          <w:szCs w:val="24"/>
        </w:rPr>
        <w:instrText>ADDIN CSL_CITATION {"citationItems":[{"id":"ITEM-1","itemData":{"DOI":"10.55123/mamen.v1i1.21","abstract":"The purpose of this study was to determine whether the profitability ratio of CV Surya Indah Perkasa in Tanjung Redeb in 2020 has increased compared to 2019. The usefulness of the results of this study is as information for management to determine company policies related to increasing company profitability in the future. The analytical tool used in this research is the Profitability Ratio, namely Gross Profit Margin, Operating Profit Margin and Net Profit Margin. Based on the results of the study, it can be seen that the comparison of Profitability Ratios in CV Surya Indah Perkasa in Tanjung Redeb in 2020 with 2019 showing that Gross Profit margin in 2020 increased by 0.67%, Operating Profit Margin in 2020 increased by 3.39%, Net Profit Margin in 2020 increased by 2.97%. Based on these results, the proposed hypothesis is accepted.","author":[{"dropping-particle":"","family":"Dawami Buchori","given":"","non-dropping-particle":"","parse-names":false,"suffix":""}],"container-title":"MAMEN: Jurnal Manajemen","id":"ITEM-1","issue":"1","issued":{"date-parts":[["2022"]]},"page":"49-61","title":"Analisis Rasio Profitabilitas Pada CV Surya Indah Perkasa Di Tanjung Redeb","type":"article-journal","volume":"1"},"uris":["http://www.mendeley.com/documents/?uuid=641f2876-54e8-4f18-ba6e-a7ece83608d2"]}],"mendeley":{"formattedCitation":"(Dawami Buchori, 2022)","plainTextFormattedCitation":"(Dawami Buchori, 2022)","previouslyFormattedCitation":"(Dawami Buchori, 2022)"},"properties":{"noteIndex":0},"schema":"https://github.com/citation-style-language/schema/raw/master/csl-citation.json"}</w:instrText>
      </w:r>
      <w:r w:rsidRPr="004B27B7">
        <w:rPr>
          <w:rFonts w:ascii="Times New Roman" w:hAnsi="Times New Roman" w:cs="Times New Roman"/>
          <w:sz w:val="24"/>
          <w:szCs w:val="24"/>
        </w:rPr>
        <w:fldChar w:fldCharType="separate"/>
      </w:r>
      <w:r w:rsidRPr="004B27B7">
        <w:rPr>
          <w:rFonts w:ascii="Times New Roman" w:hAnsi="Times New Roman" w:cs="Times New Roman"/>
          <w:noProof/>
          <w:sz w:val="24"/>
          <w:szCs w:val="24"/>
        </w:rPr>
        <w:t>(Dawami Buchori, 2022)</w:t>
      </w:r>
      <w:r w:rsidRPr="004B27B7">
        <w:rPr>
          <w:rFonts w:ascii="Times New Roman" w:hAnsi="Times New Roman" w:cs="Times New Roman"/>
          <w:sz w:val="24"/>
          <w:szCs w:val="24"/>
        </w:rPr>
        <w:fldChar w:fldCharType="end"/>
      </w:r>
      <w:r w:rsidRPr="004B27B7">
        <w:rPr>
          <w:rFonts w:ascii="Times New Roman" w:hAnsi="Times New Roman" w:cs="Times New Roman"/>
          <w:sz w:val="24"/>
          <w:szCs w:val="24"/>
        </w:rPr>
        <w:t xml:space="preserve">. Pengukuran rasio </w:t>
      </w:r>
      <w:r w:rsidRPr="00310A87">
        <w:rPr>
          <w:rFonts w:ascii="Times New Roman" w:hAnsi="Times New Roman" w:cs="Times New Roman"/>
          <w:sz w:val="24"/>
          <w:szCs w:val="24"/>
        </w:rPr>
        <w:t>profitabilitas</w:t>
      </w:r>
      <w:r w:rsidRPr="004B27B7">
        <w:rPr>
          <w:rFonts w:ascii="Times New Roman" w:hAnsi="Times New Roman" w:cs="Times New Roman"/>
          <w:sz w:val="24"/>
          <w:szCs w:val="24"/>
        </w:rPr>
        <w:t xml:space="preserve"> </w:t>
      </w:r>
      <w:r>
        <w:rPr>
          <w:rFonts w:ascii="Times New Roman" w:hAnsi="Times New Roman" w:cs="Times New Roman"/>
          <w:sz w:val="24"/>
          <w:szCs w:val="24"/>
        </w:rPr>
        <w:t>dalam</w:t>
      </w:r>
      <w:r w:rsidRPr="004B27B7">
        <w:rPr>
          <w:rFonts w:ascii="Times New Roman" w:hAnsi="Times New Roman" w:cs="Times New Roman"/>
          <w:sz w:val="24"/>
          <w:szCs w:val="24"/>
        </w:rPr>
        <w:t xml:space="preserve"> penelitian ini menggunakan rasio </w:t>
      </w:r>
      <w:r w:rsidRPr="004B27B7">
        <w:rPr>
          <w:rFonts w:ascii="Times New Roman" w:hAnsi="Times New Roman" w:cs="Times New Roman"/>
          <w:i/>
          <w:iCs/>
          <w:sz w:val="24"/>
          <w:szCs w:val="24"/>
        </w:rPr>
        <w:t>Return on Asset</w:t>
      </w:r>
      <w:r w:rsidR="00177DFC">
        <w:rPr>
          <w:rFonts w:ascii="Times New Roman" w:hAnsi="Times New Roman" w:cs="Times New Roman"/>
          <w:i/>
          <w:iCs/>
          <w:sz w:val="24"/>
          <w:szCs w:val="24"/>
        </w:rPr>
        <w:t xml:space="preserve"> </w:t>
      </w:r>
      <w:r w:rsidRPr="004B27B7">
        <w:rPr>
          <w:rFonts w:ascii="Times New Roman" w:hAnsi="Times New Roman" w:cs="Times New Roman"/>
          <w:sz w:val="24"/>
          <w:szCs w:val="24"/>
        </w:rPr>
        <w:t xml:space="preserve">(ROA) sebagai indikator </w:t>
      </w:r>
      <w:r w:rsidRPr="00310A87">
        <w:rPr>
          <w:rFonts w:ascii="Times New Roman" w:hAnsi="Times New Roman" w:cs="Times New Roman"/>
          <w:sz w:val="24"/>
          <w:szCs w:val="24"/>
        </w:rPr>
        <w:t>profitabilitas.</w:t>
      </w:r>
      <w:r w:rsidRPr="004B27B7">
        <w:rPr>
          <w:rFonts w:ascii="Times New Roman" w:hAnsi="Times New Roman" w:cs="Times New Roman"/>
          <w:sz w:val="24"/>
          <w:szCs w:val="24"/>
        </w:rPr>
        <w:t xml:space="preserve"> Pemilihan rasio ini </w:t>
      </w:r>
      <w:r w:rsidR="002C4D83">
        <w:rPr>
          <w:rFonts w:ascii="Times New Roman" w:hAnsi="Times New Roman" w:cs="Times New Roman"/>
          <w:sz w:val="24"/>
          <w:szCs w:val="24"/>
        </w:rPr>
        <w:t>dilakukan</w:t>
      </w:r>
      <w:r w:rsidRPr="004B27B7">
        <w:rPr>
          <w:rFonts w:ascii="Times New Roman" w:hAnsi="Times New Roman" w:cs="Times New Roman"/>
          <w:sz w:val="24"/>
          <w:szCs w:val="24"/>
        </w:rPr>
        <w:t xml:space="preserve"> karena ROA </w:t>
      </w:r>
      <w:r w:rsidR="002C4D83">
        <w:rPr>
          <w:rFonts w:ascii="Times New Roman" w:hAnsi="Times New Roman" w:cs="Times New Roman"/>
          <w:sz w:val="24"/>
          <w:szCs w:val="24"/>
        </w:rPr>
        <w:t>mampu</w:t>
      </w:r>
      <w:r w:rsidRPr="004B27B7">
        <w:rPr>
          <w:rFonts w:ascii="Times New Roman" w:hAnsi="Times New Roman" w:cs="Times New Roman"/>
          <w:sz w:val="24"/>
          <w:szCs w:val="24"/>
        </w:rPr>
        <w:t xml:space="preserve"> mengukur efisiensi perusahaan dalam menghasilkan </w:t>
      </w:r>
      <w:r w:rsidR="002C4D83">
        <w:rPr>
          <w:rFonts w:ascii="Times New Roman" w:hAnsi="Times New Roman" w:cs="Times New Roman"/>
          <w:sz w:val="24"/>
          <w:szCs w:val="24"/>
        </w:rPr>
        <w:t>keuntungan</w:t>
      </w:r>
      <w:r w:rsidRPr="004B27B7">
        <w:rPr>
          <w:rFonts w:ascii="Times New Roman" w:hAnsi="Times New Roman" w:cs="Times New Roman"/>
          <w:sz w:val="24"/>
          <w:szCs w:val="24"/>
        </w:rPr>
        <w:t xml:space="preserve"> dengan me</w:t>
      </w:r>
      <w:r w:rsidR="002C4D83">
        <w:rPr>
          <w:rFonts w:ascii="Times New Roman" w:hAnsi="Times New Roman" w:cs="Times New Roman"/>
          <w:sz w:val="24"/>
          <w:szCs w:val="24"/>
        </w:rPr>
        <w:t>manfaatkan</w:t>
      </w:r>
      <w:r w:rsidRPr="004B27B7">
        <w:rPr>
          <w:rFonts w:ascii="Times New Roman" w:hAnsi="Times New Roman" w:cs="Times New Roman"/>
          <w:sz w:val="24"/>
          <w:szCs w:val="24"/>
        </w:rPr>
        <w:t xml:space="preserve"> total aset yang dimiliki</w:t>
      </w:r>
      <w:r w:rsidR="00177DFC">
        <w:rPr>
          <w:rFonts w:ascii="Times New Roman" w:hAnsi="Times New Roman" w:cs="Times New Roman"/>
          <w:sz w:val="24"/>
          <w:szCs w:val="24"/>
        </w:rPr>
        <w:t xml:space="preserve"> </w:t>
      </w:r>
      <w:r w:rsidRPr="004B27B7">
        <w:rPr>
          <w:rFonts w:ascii="Times New Roman" w:hAnsi="Times New Roman" w:cs="Times New Roman"/>
          <w:sz w:val="24"/>
          <w:szCs w:val="24"/>
        </w:rPr>
        <w:fldChar w:fldCharType="begin" w:fldLock="1"/>
      </w:r>
      <w:r w:rsidRPr="004B27B7">
        <w:rPr>
          <w:rFonts w:ascii="Times New Roman" w:hAnsi="Times New Roman" w:cs="Times New Roman"/>
          <w:sz w:val="24"/>
          <w:szCs w:val="24"/>
        </w:rPr>
        <w:instrText>ADDIN CSL_CITATION {"citationItems":[{"id":"ITEM-1","itemData":{"DOI":"10.69714/jkaaej05","ISSN":"3047-2792","abstract":"This study aims to examine the effect of Green Accounting, Corporate Social Responsibility (CSR) and Company Size as moderating variables on Profitability. The research method used in this research is quantitative method. Data collection techniques are carried out by documentation techniques. The population used in this study is the Basic Materials Sector Company listed on the Indonesia Stock Exchange in 2023. The sampling technique used was purposive sampling with the final sample being 53 sample companies. Data obtained by collecting annual financial report data and sustainability reports of Basic Materials Sector Companies on the website of each company. The data analysis technique used is simple regression analysis and Moderated Regression Analysis (MRA) which has previously passed the classical assumption test and hypothesis testing using the help of SPSS software version 26 for windows. The results showed that Green Accounting and Corporate Social Responsibility (CSR) had no effect and were not significant to Profitability, and company size could not moderate the effect of Green Accounting on Profitability and company size could not moderate the effect of Corporate Social Responsibility (CSR) significantly on Profitability in basic materials companies.","author":[{"dropping-particle":"","family":"Talytha Anastasya","given":"","non-dropping-particle":"","parse-names":false,"suffix":""},{"dropping-particle":"","family":"Santi Susanti","given":"","non-dropping-particle":"","parse-names":false,"suffix":""},{"dropping-particle":"","family":"Ati Sumiati","given":"","non-dropping-particle":"","parse-names":false,"suffix":""}],"container-title":"Jurnal Ilmiah Manajemen dan Akuntansi","id":"ITEM-1","issue":"2","issued":{"date-parts":[["2025"]]},"page":"14-27","title":"Pengaruh Green Accounting Dan Corporate Social Responsibility Terhadap Profitabilitas Dengan Ukuran Perusahaan Sebagai Variabel Moderasi Pada Perusahaan Sektor Basic Materials Yang Terdaftar Di Bursa Efek Indonesia Tahun 2023","type":"article-journal","volume":"2"},"uris":["http://www.mendeley.com/documents/?uuid=432a6087-027e-4eb9-beb0-16e656df18a0"]}],"mendeley":{"formattedCitation":"(Talytha Anastasya et al., 2025)","plainTextFormattedCitation":"(Talytha Anastasya et al., 2025)","previouslyFormattedCitation":"(Talytha Anastasya et al., 2025)"},"properties":{"noteIndex":0},"schema":"https://github.com/citation-style-language/schema/raw/master/csl-citation.json"}</w:instrText>
      </w:r>
      <w:r w:rsidRPr="004B27B7">
        <w:rPr>
          <w:rFonts w:ascii="Times New Roman" w:hAnsi="Times New Roman" w:cs="Times New Roman"/>
          <w:sz w:val="24"/>
          <w:szCs w:val="24"/>
        </w:rPr>
        <w:fldChar w:fldCharType="separate"/>
      </w:r>
      <w:r w:rsidRPr="004B27B7">
        <w:rPr>
          <w:rFonts w:ascii="Times New Roman" w:hAnsi="Times New Roman" w:cs="Times New Roman"/>
          <w:noProof/>
          <w:sz w:val="24"/>
          <w:szCs w:val="24"/>
        </w:rPr>
        <w:t>(Talytha Anastasya et al., 2025)</w:t>
      </w:r>
      <w:r w:rsidRPr="004B27B7">
        <w:rPr>
          <w:rFonts w:ascii="Times New Roman" w:hAnsi="Times New Roman" w:cs="Times New Roman"/>
          <w:sz w:val="24"/>
          <w:szCs w:val="24"/>
        </w:rPr>
        <w:fldChar w:fldCharType="end"/>
      </w:r>
      <w:r w:rsidRPr="004B27B7">
        <w:rPr>
          <w:rFonts w:ascii="Times New Roman" w:hAnsi="Times New Roman" w:cs="Times New Roman"/>
          <w:sz w:val="24"/>
          <w:szCs w:val="24"/>
        </w:rPr>
        <w:t xml:space="preserve">. Berdasarkan teori, </w:t>
      </w:r>
      <w:r w:rsidRPr="004B27B7">
        <w:rPr>
          <w:rFonts w:ascii="Times New Roman" w:hAnsi="Times New Roman" w:cs="Times New Roman"/>
          <w:i/>
          <w:iCs/>
          <w:sz w:val="24"/>
          <w:szCs w:val="24"/>
        </w:rPr>
        <w:t>the rasio profitabilitas</w:t>
      </w:r>
      <w:r w:rsidRPr="004B27B7">
        <w:rPr>
          <w:rFonts w:ascii="Times New Roman" w:hAnsi="Times New Roman" w:cs="Times New Roman"/>
          <w:sz w:val="24"/>
          <w:szCs w:val="24"/>
        </w:rPr>
        <w:t xml:space="preserve"> digunakan untuk m</w:t>
      </w:r>
      <w:r w:rsidR="002C4D83">
        <w:rPr>
          <w:rFonts w:ascii="Times New Roman" w:hAnsi="Times New Roman" w:cs="Times New Roman"/>
          <w:sz w:val="24"/>
          <w:szCs w:val="24"/>
        </w:rPr>
        <w:t>enilai</w:t>
      </w:r>
      <w:r w:rsidRPr="004B27B7">
        <w:rPr>
          <w:rFonts w:ascii="Times New Roman" w:hAnsi="Times New Roman" w:cs="Times New Roman"/>
          <w:sz w:val="24"/>
          <w:szCs w:val="24"/>
        </w:rPr>
        <w:t xml:space="preserve"> seberapa menguntungkan suatu perusahaan</w:t>
      </w:r>
      <w:r w:rsidR="002C4D83">
        <w:rPr>
          <w:rFonts w:ascii="Times New Roman" w:hAnsi="Times New Roman" w:cs="Times New Roman"/>
          <w:sz w:val="24"/>
          <w:szCs w:val="24"/>
        </w:rPr>
        <w:t xml:space="preserve"> </w:t>
      </w:r>
      <w:r w:rsidRPr="004B27B7">
        <w:rPr>
          <w:rFonts w:ascii="Times New Roman" w:hAnsi="Times New Roman" w:cs="Times New Roman"/>
          <w:sz w:val="24"/>
          <w:szCs w:val="24"/>
        </w:rPr>
        <w:t>dengan me</w:t>
      </w:r>
      <w:r w:rsidR="002C4D83">
        <w:rPr>
          <w:rFonts w:ascii="Times New Roman" w:hAnsi="Times New Roman" w:cs="Times New Roman"/>
          <w:sz w:val="24"/>
          <w:szCs w:val="24"/>
        </w:rPr>
        <w:t>manfaatkan</w:t>
      </w:r>
      <w:r w:rsidRPr="004B27B7">
        <w:rPr>
          <w:rFonts w:ascii="Times New Roman" w:hAnsi="Times New Roman" w:cs="Times New Roman"/>
          <w:sz w:val="24"/>
          <w:szCs w:val="24"/>
        </w:rPr>
        <w:t xml:space="preserve"> semua elemen perusahaan yang </w:t>
      </w:r>
      <w:r w:rsidR="002C4D83">
        <w:rPr>
          <w:rFonts w:ascii="Times New Roman" w:hAnsi="Times New Roman" w:cs="Times New Roman"/>
          <w:sz w:val="24"/>
          <w:szCs w:val="24"/>
        </w:rPr>
        <w:t>ada</w:t>
      </w:r>
      <w:r w:rsidRPr="004B27B7">
        <w:rPr>
          <w:rFonts w:ascii="Times New Roman" w:hAnsi="Times New Roman" w:cs="Times New Roman"/>
          <w:sz w:val="24"/>
          <w:szCs w:val="24"/>
        </w:rPr>
        <w:t xml:space="preserve"> di dalamnya untuk mencapai keuntungan yang maksimal</w:t>
      </w:r>
      <w:r w:rsidR="002C4D83">
        <w:rPr>
          <w:rFonts w:ascii="Times New Roman" w:hAnsi="Times New Roman" w:cs="Times New Roman"/>
          <w:sz w:val="24"/>
          <w:szCs w:val="24"/>
        </w:rPr>
        <w:t xml:space="preserve">. </w:t>
      </w:r>
      <w:r w:rsidRPr="002C4D83">
        <w:rPr>
          <w:rFonts w:ascii="Times New Roman" w:hAnsi="Times New Roman" w:cs="Times New Roman"/>
          <w:sz w:val="24"/>
          <w:szCs w:val="24"/>
        </w:rPr>
        <w:t>Indikator profitabilitas ini</w:t>
      </w:r>
      <w:r w:rsidRPr="004B27B7">
        <w:rPr>
          <w:rFonts w:ascii="Times New Roman" w:hAnsi="Times New Roman" w:cs="Times New Roman"/>
          <w:sz w:val="24"/>
          <w:szCs w:val="24"/>
        </w:rPr>
        <w:t xml:space="preserve"> </w:t>
      </w:r>
      <w:r w:rsidR="002C4D83">
        <w:rPr>
          <w:rFonts w:ascii="Times New Roman" w:hAnsi="Times New Roman" w:cs="Times New Roman"/>
          <w:sz w:val="24"/>
          <w:szCs w:val="24"/>
        </w:rPr>
        <w:t xml:space="preserve">umumnya dipakai </w:t>
      </w:r>
      <w:r w:rsidRPr="004B27B7">
        <w:rPr>
          <w:rFonts w:ascii="Times New Roman" w:hAnsi="Times New Roman" w:cs="Times New Roman"/>
          <w:sz w:val="24"/>
          <w:szCs w:val="24"/>
        </w:rPr>
        <w:t xml:space="preserve">oleh investor sebagai </w:t>
      </w:r>
      <w:r w:rsidR="002C4D83">
        <w:rPr>
          <w:rFonts w:ascii="Times New Roman" w:hAnsi="Times New Roman" w:cs="Times New Roman"/>
          <w:sz w:val="24"/>
          <w:szCs w:val="24"/>
        </w:rPr>
        <w:t xml:space="preserve">salah satu </w:t>
      </w:r>
      <w:r w:rsidRPr="004B27B7">
        <w:rPr>
          <w:rFonts w:ascii="Times New Roman" w:hAnsi="Times New Roman" w:cs="Times New Roman"/>
          <w:sz w:val="24"/>
          <w:szCs w:val="24"/>
        </w:rPr>
        <w:t>bahan pertimbangan dalam berinvestasi saham di suatu perusahaan</w:t>
      </w:r>
      <w:r w:rsidR="002C4D83">
        <w:rPr>
          <w:rFonts w:ascii="Times New Roman" w:hAnsi="Times New Roman" w:cs="Times New Roman"/>
          <w:sz w:val="24"/>
          <w:szCs w:val="24"/>
        </w:rPr>
        <w:t xml:space="preserve"> tertentu</w:t>
      </w:r>
      <w:r w:rsidR="00177DFC">
        <w:rPr>
          <w:rFonts w:ascii="Times New Roman" w:hAnsi="Times New Roman" w:cs="Times New Roman"/>
          <w:sz w:val="24"/>
          <w:szCs w:val="24"/>
        </w:rPr>
        <w:t xml:space="preserve"> </w:t>
      </w:r>
      <w:r w:rsidRPr="004B27B7">
        <w:rPr>
          <w:rFonts w:ascii="Times New Roman" w:hAnsi="Times New Roman" w:cs="Times New Roman"/>
          <w:sz w:val="24"/>
          <w:szCs w:val="24"/>
        </w:rPr>
        <w:fldChar w:fldCharType="begin" w:fldLock="1"/>
      </w:r>
      <w:r w:rsidRPr="004B27B7">
        <w:rPr>
          <w:rFonts w:ascii="Times New Roman" w:hAnsi="Times New Roman" w:cs="Times New Roman"/>
          <w:sz w:val="24"/>
          <w:szCs w:val="24"/>
        </w:rPr>
        <w:instrText>ADDIN CSL_CITATION {"citationItems":[{"id":"ITEM-1","itemData":{"ISBN":"2104201020","abstract":"Penelitian ini menganalisis pengaruh ukuran perusahaan, leverage, rasio harga perolehan, dan profitabilitas terhadap nilai perusahaan. Tujuan utama dibangun perusahaan adalah untuk memaksimalkan kekayaan pemegang saham. Ada beberapa faktor yang dapat mempertimbangkan nilai perusahaan, misalnya ukuran perusahaan, leverage, rasio harga perolehan, dan profitabilitas. Di perusahaan riset ini nilai diukur dengan Tobin's Q. Analisis penelitian ini menggunakan metode regresi linier. Hasilnya menunjukkan bahwa ukuran perusahaan, leverage, price earning ratio, dan profitabilitas secara simultan berpengaruh pada nilai perusahaan. Sementara itu, hasil pengujian menunjukkan bahwa perusahaan size, price earning ratio, dan profitabilitas terdapat pengaruh yang positif untuk nilai perusahaan sebagian. Sementara, leverage menunjukkan bahwa belum berpengaruh terhadap nilai perusahaan secara parsial. Artinya, semakin tinggi ukuran perusahaan, leverage, price earning ratio, dan profitabilitas perusahaan maka akan meningkatkan nilai perusahaan. Leverage yang ditunjukkan tidak mempengaruhi pada nilai perusahaan. Di dalam artikel jurnal kali ini kita juga membahas tentang pengaruh profitabilitas terhadap perusahaan, pengaruh likuiditas terhadap perusahaan dan pengaruh profitabilitas terhadap financial distress.","author":[{"dropping-particle":"","family":"Nirawati","given":"Lia","non-dropping-particle":"","parse-names":false,"suffix":""},{"dropping-particle":"","family":"Samsudin","given":"Acep","non-dropping-particle":"","parse-names":false,"suffix":""},{"dropping-particle":"","family":"Stifanie","given":"Anggi","non-dropping-particle":"","parse-names":false,"suffix":""},{"dropping-particle":"","family":"Setianingrum","given":"Minanti Dwi","non-dropping-particle":"","parse-names":false,"suffix":""},{"dropping-particle":"","family":"RyanSyahputra","given":"Muhammad","non-dropping-particle":"","parse-names":false,"suffix":""},{"dropping-particle":"","family":"Khrisnawati","given":"NurulNabilla","non-dropping-particle":"","parse-names":false,"suffix":""},{"dropping-particle":"","family":"Saputri","given":"YunidaAnggun","non-dropping-particle":"","parse-names":false,"suffix":""}],"container-title":"Jurnal Manajemen dan Bisnis","id":"ITEM-1","issue":"1","issued":{"date-parts":[["2022"]]},"page":"60-68","title":"Profitabilitas dalam Perusahaan","type":"article-journal","volume":"5"},"uris":["http://www.mendeley.com/documents/?uuid=b56c3eb1-26b2-481e-83a2-441f5db7b01c"]}],"mendeley":{"formattedCitation":"(Nirawati et al., 2022)","plainTextFormattedCitation":"(Nirawati et al., 2022)","previouslyFormattedCitation":"(Nirawati et al., 2022)"},"properties":{"noteIndex":0},"schema":"https://github.com/citation-style-language/schema/raw/master/csl-citation.json"}</w:instrText>
      </w:r>
      <w:r w:rsidRPr="004B27B7">
        <w:rPr>
          <w:rFonts w:ascii="Times New Roman" w:hAnsi="Times New Roman" w:cs="Times New Roman"/>
          <w:sz w:val="24"/>
          <w:szCs w:val="24"/>
        </w:rPr>
        <w:fldChar w:fldCharType="separate"/>
      </w:r>
      <w:r w:rsidRPr="004B27B7">
        <w:rPr>
          <w:rFonts w:ascii="Times New Roman" w:hAnsi="Times New Roman" w:cs="Times New Roman"/>
          <w:noProof/>
          <w:sz w:val="24"/>
          <w:szCs w:val="24"/>
        </w:rPr>
        <w:t>(Nirawati et al., 2022)</w:t>
      </w:r>
      <w:r w:rsidRPr="004B27B7">
        <w:rPr>
          <w:rFonts w:ascii="Times New Roman" w:hAnsi="Times New Roman" w:cs="Times New Roman"/>
          <w:sz w:val="24"/>
          <w:szCs w:val="24"/>
        </w:rPr>
        <w:fldChar w:fldCharType="end"/>
      </w:r>
      <w:r w:rsidRPr="004B27B7">
        <w:rPr>
          <w:rFonts w:ascii="Times New Roman" w:hAnsi="Times New Roman" w:cs="Times New Roman"/>
          <w:sz w:val="24"/>
          <w:szCs w:val="24"/>
        </w:rPr>
        <w:t>.</w:t>
      </w:r>
    </w:p>
    <w:p w14:paraId="7B86EBE1" w14:textId="1139D8D0" w:rsidR="008775EB" w:rsidRPr="004B27B7" w:rsidRDefault="00000000" w:rsidP="004B27B7">
      <w:pPr>
        <w:spacing w:line="360" w:lineRule="auto"/>
        <w:ind w:firstLine="720"/>
        <w:jc w:val="both"/>
        <w:rPr>
          <w:rFonts w:ascii="Times New Roman" w:eastAsia="Times New Roman" w:hAnsi="Times New Roman" w:cs="Times New Roman"/>
          <w:sz w:val="24"/>
          <w:szCs w:val="24"/>
        </w:rPr>
      </w:pPr>
      <w:r w:rsidRPr="004B27B7">
        <w:rPr>
          <w:rFonts w:ascii="Times New Roman" w:eastAsia="Times New Roman" w:hAnsi="Times New Roman" w:cs="Times New Roman"/>
          <w:sz w:val="24"/>
          <w:szCs w:val="24"/>
        </w:rPr>
        <w:lastRenderedPageBreak/>
        <w:t>Berdasarkan hal tersebut, kerangka pemikiran dalam penelitian ini disusun sebagai berikut</w:t>
      </w:r>
    </w:p>
    <w:p w14:paraId="021404BD" w14:textId="77777777" w:rsidR="008775EB" w:rsidRPr="004B27B7" w:rsidRDefault="00000000" w:rsidP="004B27B7">
      <w:pPr>
        <w:spacing w:line="360" w:lineRule="auto"/>
        <w:jc w:val="both"/>
        <w:rPr>
          <w:rFonts w:ascii="Times New Roman" w:eastAsia="Times New Roman" w:hAnsi="Times New Roman" w:cs="Times New Roman"/>
          <w:sz w:val="24"/>
          <w:szCs w:val="24"/>
        </w:rPr>
      </w:pPr>
      <w:r w:rsidRPr="004B27B7">
        <w:rPr>
          <w:rFonts w:ascii="Times New Roman" w:eastAsia="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6D96B8F3" wp14:editId="4A424361">
                <wp:simplePos x="0" y="0"/>
                <wp:positionH relativeFrom="column">
                  <wp:posOffset>3508375</wp:posOffset>
                </wp:positionH>
                <wp:positionV relativeFrom="paragraph">
                  <wp:posOffset>186055</wp:posOffset>
                </wp:positionV>
                <wp:extent cx="2088515" cy="1210945"/>
                <wp:effectExtent l="0" t="0" r="26670" b="27305"/>
                <wp:wrapNone/>
                <wp:docPr id="1882406041" name="Rectangle: Rounded Corners 1"/>
                <wp:cNvGraphicFramePr/>
                <a:graphic xmlns:a="http://schemas.openxmlformats.org/drawingml/2006/main">
                  <a:graphicData uri="http://schemas.microsoft.com/office/word/2010/wordprocessingShape">
                    <wps:wsp>
                      <wps:cNvSpPr/>
                      <wps:spPr>
                        <a:xfrm>
                          <a:off x="0" y="0"/>
                          <a:ext cx="2088275" cy="1210962"/>
                        </a:xfrm>
                        <a:prstGeom prst="roundRect">
                          <a:avLst>
                            <a:gd name="adj" fmla="val 2253"/>
                          </a:avLst>
                        </a:prstGeom>
                        <a:ln w="3175"/>
                      </wps:spPr>
                      <wps:style>
                        <a:lnRef idx="2">
                          <a:schemeClr val="dk1"/>
                        </a:lnRef>
                        <a:fillRef idx="1">
                          <a:schemeClr val="lt1"/>
                        </a:fillRef>
                        <a:effectRef idx="0">
                          <a:schemeClr val="dk1"/>
                        </a:effectRef>
                        <a:fontRef idx="minor">
                          <a:schemeClr val="dk1"/>
                        </a:fontRef>
                      </wps:style>
                      <wps:txbx>
                        <w:txbxContent>
                          <w:p w14:paraId="78C6A084" w14:textId="77777777" w:rsidR="008775EB" w:rsidRDefault="00000000">
                            <w:pPr>
                              <w:jc w:val="center"/>
                              <w:rPr>
                                <w:rFonts w:ascii="Times New Roman" w:hAnsi="Times New Roman" w:cs="Times New Roman"/>
                                <w:sz w:val="24"/>
                                <w:szCs w:val="24"/>
                              </w:rPr>
                            </w:pPr>
                            <w:r w:rsidRPr="00177DFC">
                              <w:rPr>
                                <w:rFonts w:ascii="Times New Roman" w:hAnsi="Times New Roman" w:cs="Times New Roman"/>
                                <w:sz w:val="24"/>
                                <w:szCs w:val="24"/>
                              </w:rPr>
                              <w:t>Profitabilitas</w:t>
                            </w:r>
                            <w:r>
                              <w:rPr>
                                <w:rFonts w:ascii="Times New Roman" w:hAnsi="Times New Roman" w:cs="Times New Roman"/>
                                <w:sz w:val="24"/>
                                <w:szCs w:val="24"/>
                              </w:rPr>
                              <w:t>(Y)</w:t>
                            </w:r>
                          </w:p>
                          <w:p w14:paraId="7708DF63" w14:textId="77777777" w:rsidR="008775EB" w:rsidRDefault="00000000">
                            <w:pPr>
                              <w:jc w:val="center"/>
                              <w:rPr>
                                <w:rFonts w:ascii="Times New Roman" w:hAnsi="Times New Roman" w:cs="Times New Roman"/>
                                <w:b/>
                                <w:bCs/>
                                <w:sz w:val="24"/>
                                <w:szCs w:val="24"/>
                              </w:rPr>
                            </w:pPr>
                            <w:r>
                              <w:rPr>
                                <w:rFonts w:ascii="Times New Roman" w:hAnsi="Times New Roman" w:cs="Times New Roman"/>
                                <w:i/>
                                <w:iCs/>
                                <w:sz w:val="24"/>
                                <w:szCs w:val="24"/>
                              </w:rPr>
                              <w:t xml:space="preserve">Return on Assets (ROA) </w:t>
                            </w:r>
                            <w:r>
                              <w:rPr>
                                <w:rFonts w:ascii="Times New Roman" w:hAnsi="Times New Roman" w:cs="Times New Roman"/>
                                <w:sz w:val="24"/>
                                <w:szCs w:val="24"/>
                              </w:rPr>
                              <w:t xml:space="preserve">= </w:t>
                            </w:r>
                            <w:r>
                              <w:rPr>
                                <w:rFonts w:ascii="Cambria Math" w:hAnsi="Cambria Math" w:cs="Cambria Math"/>
                                <w:sz w:val="24"/>
                                <w:szCs w:val="24"/>
                              </w:rPr>
                              <w:t>𝐿𝑎𝑏𝑎</w:t>
                            </w:r>
                            <w:r>
                              <w:rPr>
                                <w:rFonts w:ascii="Times New Roman" w:hAnsi="Times New Roman" w:cs="Times New Roman"/>
                                <w:sz w:val="24"/>
                                <w:szCs w:val="24"/>
                              </w:rPr>
                              <w:t xml:space="preserve"> </w:t>
                            </w:r>
                            <w:r>
                              <w:rPr>
                                <w:rFonts w:ascii="Cambria Math" w:hAnsi="Cambria Math" w:cs="Cambria Math"/>
                                <w:sz w:val="24"/>
                                <w:szCs w:val="24"/>
                              </w:rPr>
                              <w:t>𝐵𝑒𝑟𝑠𝑖</w:t>
                            </w:r>
                            <w:r>
                              <w:rPr>
                                <w:rFonts w:ascii="Times New Roman" w:hAnsi="Times New Roman" w:cs="Times New Roman"/>
                                <w:sz w:val="24"/>
                                <w:szCs w:val="24"/>
                              </w:rPr>
                              <w:t>ℎ /</w:t>
                            </w:r>
                            <w:r>
                              <w:rPr>
                                <w:rFonts w:ascii="Cambria Math" w:hAnsi="Cambria Math" w:cs="Cambria Math"/>
                                <w:sz w:val="24"/>
                                <w:szCs w:val="24"/>
                              </w:rPr>
                              <w:t>𝑇𝑜𝑡𝑎𝑙</w:t>
                            </w:r>
                            <w:r>
                              <w:rPr>
                                <w:rFonts w:ascii="Times New Roman" w:hAnsi="Times New Roman" w:cs="Times New Roman"/>
                                <w:sz w:val="24"/>
                                <w:szCs w:val="24"/>
                              </w:rPr>
                              <w:t xml:space="preserve"> </w:t>
                            </w:r>
                            <w:r>
                              <w:rPr>
                                <w:rFonts w:ascii="Cambria Math" w:hAnsi="Cambria Math" w:cs="Cambria Math"/>
                                <w:sz w:val="24"/>
                                <w:szCs w:val="24"/>
                              </w:rPr>
                              <w:t>𝐴𝑠𝑠𝑒𝑡𝑠</w:t>
                            </w:r>
                            <w:r>
                              <w:rPr>
                                <w:rFonts w:ascii="Times New Roman" w:hAnsi="Times New Roman" w:cs="Times New Roman"/>
                                <w:sz w:val="24"/>
                                <w:szCs w:val="24"/>
                              </w:rPr>
                              <w:t xml:space="preserve"> </w:t>
                            </w:r>
                            <w:r>
                              <w:rPr>
                                <w:rFonts w:ascii="Cambria Math" w:hAnsi="Cambria Math" w:cs="Cambria Math"/>
                                <w:sz w:val="24"/>
                                <w:szCs w:val="24"/>
                              </w:rPr>
                              <w:t>𝑥</w:t>
                            </w:r>
                            <w:r>
                              <w:rPr>
                                <w:rFonts w:ascii="Times New Roman" w:hAnsi="Times New Roman" w:cs="Times New Roman"/>
                                <w:sz w:val="24"/>
                                <w:szCs w:val="24"/>
                              </w:rPr>
                              <w:t xml:space="preserve"> 100%</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w14:anchorId="6D96B8F3" id="Rectangle: Rounded Corners 1" o:spid="_x0000_s1026" style="position:absolute;left:0;text-align:left;margin-left:276.25pt;margin-top:14.65pt;width:164.45pt;height:95.35pt;z-index:251660288;visibility:visible;mso-wrap-style:square;mso-wrap-distance-left:9pt;mso-wrap-distance-top:0;mso-wrap-distance-right:9pt;mso-wrap-distance-bottom:0;mso-position-horizontal:absolute;mso-position-horizontal-relative:text;mso-position-vertical:absolute;mso-position-vertical-relative:text;v-text-anchor:middle" arcsize="147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" fillcolor="white [3201]" strokecolor="black [3200]" strokeweight=".25pt">
                <v:textbox>
                  <w:txbxContent>
                    <w:p w14:paraId="78C6A084" w14:textId="77777777" w:rsidR="008775EB" w:rsidRDefault="00000000">
                      <w:pPr>
                        <w:jc w:val="center"/>
                        <w:rPr>
                          <w:rFonts w:ascii="Times New Roman" w:hAnsi="Times New Roman" w:cs="Times New Roman"/>
                          <w:sz w:val="24"/>
                          <w:szCs w:val="24"/>
                        </w:rPr>
                      </w:pPr>
                      <w:r w:rsidRPr="00177DFC">
                        <w:rPr>
                          <w:rFonts w:ascii="Times New Roman" w:hAnsi="Times New Roman" w:cs="Times New Roman"/>
                          <w:sz w:val="24"/>
                          <w:szCs w:val="24"/>
                        </w:rPr>
                        <w:t>Profitabilitas</w:t>
                      </w:r>
                      <w:r>
                        <w:rPr>
                          <w:rFonts w:ascii="Times New Roman" w:hAnsi="Times New Roman" w:cs="Times New Roman"/>
                          <w:sz w:val="24"/>
                          <w:szCs w:val="24"/>
                        </w:rPr>
                        <w:t>(Y)</w:t>
                      </w:r>
                    </w:p>
                    <w:p w14:paraId="7708DF63" w14:textId="77777777" w:rsidR="008775EB" w:rsidRDefault="00000000">
                      <w:pPr>
                        <w:jc w:val="center"/>
                        <w:rPr>
                          <w:rFonts w:ascii="Times New Roman" w:hAnsi="Times New Roman" w:cs="Times New Roman"/>
                          <w:b/>
                          <w:bCs/>
                          <w:sz w:val="24"/>
                          <w:szCs w:val="24"/>
                        </w:rPr>
                      </w:pPr>
                      <w:r>
                        <w:rPr>
                          <w:rFonts w:ascii="Times New Roman" w:hAnsi="Times New Roman" w:cs="Times New Roman"/>
                          <w:i/>
                          <w:iCs/>
                          <w:sz w:val="24"/>
                          <w:szCs w:val="24"/>
                        </w:rPr>
                        <w:t xml:space="preserve">Return on Assets (ROA) </w:t>
                      </w:r>
                      <w:r>
                        <w:rPr>
                          <w:rFonts w:ascii="Times New Roman" w:hAnsi="Times New Roman" w:cs="Times New Roman"/>
                          <w:sz w:val="24"/>
                          <w:szCs w:val="24"/>
                        </w:rPr>
                        <w:t xml:space="preserve">= </w:t>
                      </w:r>
                      <w:r>
                        <w:rPr>
                          <w:rFonts w:ascii="Cambria Math" w:hAnsi="Cambria Math" w:cs="Cambria Math"/>
                          <w:sz w:val="24"/>
                          <w:szCs w:val="24"/>
                        </w:rPr>
                        <w:t>𝐿𝑎𝑏𝑎</w:t>
                      </w:r>
                      <w:r>
                        <w:rPr>
                          <w:rFonts w:ascii="Times New Roman" w:hAnsi="Times New Roman" w:cs="Times New Roman"/>
                          <w:sz w:val="24"/>
                          <w:szCs w:val="24"/>
                        </w:rPr>
                        <w:t xml:space="preserve"> </w:t>
                      </w:r>
                      <w:r>
                        <w:rPr>
                          <w:rFonts w:ascii="Cambria Math" w:hAnsi="Cambria Math" w:cs="Cambria Math"/>
                          <w:sz w:val="24"/>
                          <w:szCs w:val="24"/>
                        </w:rPr>
                        <w:t>𝐵𝑒𝑟𝑠𝑖</w:t>
                      </w:r>
                      <w:r>
                        <w:rPr>
                          <w:rFonts w:ascii="Times New Roman" w:hAnsi="Times New Roman" w:cs="Times New Roman"/>
                          <w:sz w:val="24"/>
                          <w:szCs w:val="24"/>
                        </w:rPr>
                        <w:t>ℎ /</w:t>
                      </w:r>
                      <w:r>
                        <w:rPr>
                          <w:rFonts w:ascii="Cambria Math" w:hAnsi="Cambria Math" w:cs="Cambria Math"/>
                          <w:sz w:val="24"/>
                          <w:szCs w:val="24"/>
                        </w:rPr>
                        <w:t>𝑇𝑜𝑡𝑎𝑙</w:t>
                      </w:r>
                      <w:r>
                        <w:rPr>
                          <w:rFonts w:ascii="Times New Roman" w:hAnsi="Times New Roman" w:cs="Times New Roman"/>
                          <w:sz w:val="24"/>
                          <w:szCs w:val="24"/>
                        </w:rPr>
                        <w:t xml:space="preserve"> </w:t>
                      </w:r>
                      <w:r>
                        <w:rPr>
                          <w:rFonts w:ascii="Cambria Math" w:hAnsi="Cambria Math" w:cs="Cambria Math"/>
                          <w:sz w:val="24"/>
                          <w:szCs w:val="24"/>
                        </w:rPr>
                        <w:t>𝐴𝑠𝑠𝑒𝑡𝑠</w:t>
                      </w:r>
                      <w:r>
                        <w:rPr>
                          <w:rFonts w:ascii="Times New Roman" w:hAnsi="Times New Roman" w:cs="Times New Roman"/>
                          <w:sz w:val="24"/>
                          <w:szCs w:val="24"/>
                        </w:rPr>
                        <w:t xml:space="preserve"> </w:t>
                      </w:r>
                      <w:r>
                        <w:rPr>
                          <w:rFonts w:ascii="Cambria Math" w:hAnsi="Cambria Math" w:cs="Cambria Math"/>
                          <w:sz w:val="24"/>
                          <w:szCs w:val="24"/>
                        </w:rPr>
                        <w:t>𝑥</w:t>
                      </w:r>
                      <w:r>
                        <w:rPr>
                          <w:rFonts w:ascii="Times New Roman" w:hAnsi="Times New Roman" w:cs="Times New Roman"/>
                          <w:sz w:val="24"/>
                          <w:szCs w:val="24"/>
                        </w:rPr>
                        <w:t xml:space="preserve"> 100%</w:t>
                      </w:r>
                    </w:p>
                  </w:txbxContent>
                </v:textbox>
              </v:roundrect>
            </w:pict>
          </mc:Fallback>
        </mc:AlternateContent>
      </w:r>
      <w:r w:rsidRPr="004B27B7">
        <w:rPr>
          <w:rFonts w:ascii="Times New Roman" w:eastAsia="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6B1FB8E0" wp14:editId="3B046502">
                <wp:simplePos x="0" y="0"/>
                <wp:positionH relativeFrom="column">
                  <wp:posOffset>48895</wp:posOffset>
                </wp:positionH>
                <wp:positionV relativeFrom="paragraph">
                  <wp:posOffset>81280</wp:posOffset>
                </wp:positionV>
                <wp:extent cx="2470785" cy="1321435"/>
                <wp:effectExtent l="0" t="0" r="24765" b="12065"/>
                <wp:wrapNone/>
                <wp:docPr id="1692091929" name="Rectangle: Rounded Corners 1"/>
                <wp:cNvGraphicFramePr/>
                <a:graphic xmlns:a="http://schemas.openxmlformats.org/drawingml/2006/main">
                  <a:graphicData uri="http://schemas.microsoft.com/office/word/2010/wordprocessingShape">
                    <wps:wsp>
                      <wps:cNvSpPr/>
                      <wps:spPr>
                        <a:xfrm>
                          <a:off x="0" y="0"/>
                          <a:ext cx="2470785" cy="1321435"/>
                        </a:xfrm>
                        <a:prstGeom prst="roundRect">
                          <a:avLst>
                            <a:gd name="adj" fmla="val 2641"/>
                          </a:avLst>
                        </a:prstGeom>
                        <a:solidFill>
                          <a:schemeClr val="bg1"/>
                        </a:solidFill>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A574F50" w14:textId="77777777" w:rsidR="008775EB" w:rsidRDefault="00000000">
                            <w:pPr>
                              <w:jc w:val="center"/>
                              <w:rPr>
                                <w:rFonts w:ascii="Times New Roman" w:hAnsi="Times New Roman" w:cs="Times New Roman"/>
                                <w:sz w:val="24"/>
                                <w:szCs w:val="24"/>
                              </w:rPr>
                            </w:pPr>
                            <w:r>
                              <w:rPr>
                                <w:rFonts w:ascii="Times New Roman" w:hAnsi="Times New Roman" w:cs="Times New Roman"/>
                                <w:i/>
                                <w:iCs/>
                                <w:sz w:val="24"/>
                                <w:szCs w:val="24"/>
                              </w:rPr>
                              <w:t xml:space="preserve">Green </w:t>
                            </w:r>
                            <w:r>
                              <w:rPr>
                                <w:rFonts w:ascii="Times New Roman" w:hAnsi="Times New Roman" w:cs="Times New Roman"/>
                                <w:i/>
                                <w:iCs/>
                                <w:sz w:val="24"/>
                                <w:szCs w:val="24"/>
                              </w:rPr>
                              <w:t>Accounting</w:t>
                            </w:r>
                            <w:r>
                              <w:rPr>
                                <w:rFonts w:ascii="Times New Roman" w:hAnsi="Times New Roman" w:cs="Times New Roman"/>
                                <w:sz w:val="24"/>
                                <w:szCs w:val="24"/>
                              </w:rPr>
                              <w:t>(X)</w:t>
                            </w:r>
                          </w:p>
                          <w:p w14:paraId="028AA2DB" w14:textId="77777777" w:rsidR="008775EB" w:rsidRDefault="00000000">
                            <w:pPr>
                              <w:jc w:val="center"/>
                              <w:rPr>
                                <w:rFonts w:ascii="Times New Roman" w:hAnsi="Times New Roman" w:cs="Times New Roman"/>
                                <w:sz w:val="24"/>
                                <w:szCs w:val="24"/>
                              </w:rPr>
                            </w:pPr>
                            <w:r>
                              <w:rPr>
                                <w:rFonts w:ascii="Times New Roman" w:hAnsi="Times New Roman" w:cs="Times New Roman"/>
                                <w:sz w:val="24"/>
                                <w:szCs w:val="24"/>
                              </w:rPr>
                              <w:t>Biaya Lingkungan</w:t>
                            </w:r>
                          </w:p>
                          <w:p w14:paraId="1B966987" w14:textId="77777777" w:rsidR="008775EB" w:rsidRDefault="00000000">
                            <w:pPr>
                              <w:jc w:val="center"/>
                              <w:rPr>
                                <w:rFonts w:ascii="Times New Roman" w:hAnsi="Times New Roman" w:cs="Times New Roman"/>
                                <w:sz w:val="24"/>
                                <w:szCs w:val="24"/>
                              </w:rPr>
                            </w:pPr>
                            <w:r>
                              <w:rPr>
                                <w:rFonts w:ascii="Times New Roman" w:hAnsi="Times New Roman"/>
                                <w:i/>
                                <w:iCs/>
                                <w:sz w:val="24"/>
                                <w:szCs w:val="24"/>
                              </w:rPr>
                              <w:t xml:space="preserve">EPI = </w:t>
                            </w:r>
                            <w:r>
                              <w:rPr>
                                <w:rFonts w:ascii="Times New Roman" w:hAnsi="Times New Roman"/>
                                <w:sz w:val="24"/>
                                <w:szCs w:val="24"/>
                              </w:rPr>
                              <w:t>(Laba Bersih - Total Biaya Lingkungan)/Laba Bersih x 100%</w:t>
                            </w:r>
                          </w:p>
                          <w:p w14:paraId="745B1BD6" w14:textId="77777777" w:rsidR="008775EB" w:rsidRDefault="00000000">
                            <w:pPr>
                              <w:jc w:val="center"/>
                              <w:rPr>
                                <w:rFonts w:ascii="Times New Roman" w:hAnsi="Times New Roman" w:cs="Times New Roman"/>
                                <w:sz w:val="24"/>
                                <w:szCs w:val="24"/>
                              </w:rPr>
                            </w:pPr>
                            <w:r>
                              <w:rPr>
                                <w:rFonts w:ascii="Times New Roman" w:hAnsi="Times New Roman" w:cs="Times New Roman"/>
                                <w:sz w:val="24"/>
                                <w:szCs w:val="24"/>
                              </w:rPr>
                              <w:t xml:space="preserve"> </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w14:anchorId="6B1FB8E0" id="_x0000_s1027" style="position:absolute;left:0;text-align:left;margin-left:3.85pt;margin-top:6.4pt;width:194.55pt;height:104.05pt;z-index:251659264;visibility:visible;mso-wrap-style:square;mso-wrap-distance-left:9pt;mso-wrap-distance-top:0;mso-wrap-distance-right:9pt;mso-wrap-distance-bottom:0;mso-position-horizontal:absolute;mso-position-horizontal-relative:text;mso-position-vertical:absolute;mso-position-vertical-relative:text;v-text-anchor:middle" arcsize="172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" fillcolor="white [3212]" strokecolor="black [3213]" strokeweight=".25pt">
                <v:textbox>
                  <w:txbxContent>
                    <w:p w14:paraId="7A574F50" w14:textId="77777777" w:rsidR="008775EB" w:rsidRDefault="00000000">
                      <w:pPr>
                        <w:jc w:val="center"/>
                        <w:rPr>
                          <w:rFonts w:ascii="Times New Roman" w:hAnsi="Times New Roman" w:cs="Times New Roman"/>
                          <w:sz w:val="24"/>
                          <w:szCs w:val="24"/>
                        </w:rPr>
                      </w:pPr>
                      <w:r>
                        <w:rPr>
                          <w:rFonts w:ascii="Times New Roman" w:hAnsi="Times New Roman" w:cs="Times New Roman"/>
                          <w:i/>
                          <w:iCs/>
                          <w:sz w:val="24"/>
                          <w:szCs w:val="24"/>
                        </w:rPr>
                        <w:t>Green Accounting</w:t>
                      </w:r>
                      <w:r>
                        <w:rPr>
                          <w:rFonts w:ascii="Times New Roman" w:hAnsi="Times New Roman" w:cs="Times New Roman"/>
                          <w:sz w:val="24"/>
                          <w:szCs w:val="24"/>
                        </w:rPr>
                        <w:t>(X)</w:t>
                      </w:r>
                    </w:p>
                    <w:p w14:paraId="028AA2DB" w14:textId="77777777" w:rsidR="008775EB" w:rsidRDefault="00000000">
                      <w:pPr>
                        <w:jc w:val="center"/>
                        <w:rPr>
                          <w:rFonts w:ascii="Times New Roman" w:hAnsi="Times New Roman" w:cs="Times New Roman"/>
                          <w:sz w:val="24"/>
                          <w:szCs w:val="24"/>
                        </w:rPr>
                      </w:pPr>
                      <w:r>
                        <w:rPr>
                          <w:rFonts w:ascii="Times New Roman" w:hAnsi="Times New Roman" w:cs="Times New Roman"/>
                          <w:sz w:val="24"/>
                          <w:szCs w:val="24"/>
                        </w:rPr>
                        <w:t>Biaya Lingkungan</w:t>
                      </w:r>
                    </w:p>
                    <w:p w14:paraId="1B966987" w14:textId="77777777" w:rsidR="008775EB" w:rsidRDefault="00000000">
                      <w:pPr>
                        <w:jc w:val="center"/>
                        <w:rPr>
                          <w:rFonts w:ascii="Times New Roman" w:hAnsi="Times New Roman" w:cs="Times New Roman"/>
                          <w:sz w:val="24"/>
                          <w:szCs w:val="24"/>
                        </w:rPr>
                      </w:pPr>
                      <w:r>
                        <w:rPr>
                          <w:rFonts w:ascii="Times New Roman" w:hAnsi="Times New Roman"/>
                          <w:i/>
                          <w:iCs/>
                          <w:sz w:val="24"/>
                          <w:szCs w:val="24"/>
                        </w:rPr>
                        <w:t xml:space="preserve">EPI = </w:t>
                      </w:r>
                      <w:r>
                        <w:rPr>
                          <w:rFonts w:ascii="Times New Roman" w:hAnsi="Times New Roman"/>
                          <w:sz w:val="24"/>
                          <w:szCs w:val="24"/>
                        </w:rPr>
                        <w:t>(Laba Bersih - Total Biaya Lingkungan)/Laba Bersih x 100%</w:t>
                      </w:r>
                    </w:p>
                    <w:p w14:paraId="745B1BD6" w14:textId="77777777" w:rsidR="008775EB" w:rsidRDefault="00000000">
                      <w:pPr>
                        <w:jc w:val="center"/>
                        <w:rPr>
                          <w:rFonts w:ascii="Times New Roman" w:hAnsi="Times New Roman" w:cs="Times New Roman"/>
                          <w:sz w:val="24"/>
                          <w:szCs w:val="24"/>
                        </w:rPr>
                      </w:pPr>
                      <w:r>
                        <w:rPr>
                          <w:rFonts w:ascii="Times New Roman" w:hAnsi="Times New Roman" w:cs="Times New Roman"/>
                          <w:sz w:val="24"/>
                          <w:szCs w:val="24"/>
                        </w:rPr>
                        <w:t xml:space="preserve"> </w:t>
                      </w:r>
                    </w:p>
                  </w:txbxContent>
                </v:textbox>
              </v:roundrect>
            </w:pict>
          </mc:Fallback>
        </mc:AlternateContent>
      </w:r>
    </w:p>
    <w:p w14:paraId="55066CA6" w14:textId="77777777" w:rsidR="008775EB" w:rsidRPr="004B27B7" w:rsidRDefault="008775EB" w:rsidP="004B27B7">
      <w:pPr>
        <w:spacing w:line="360" w:lineRule="auto"/>
        <w:jc w:val="both"/>
        <w:rPr>
          <w:rFonts w:ascii="Times New Roman" w:eastAsia="Times New Roman" w:hAnsi="Times New Roman" w:cs="Times New Roman"/>
          <w:sz w:val="24"/>
          <w:szCs w:val="24"/>
        </w:rPr>
      </w:pPr>
    </w:p>
    <w:p w14:paraId="7282F9AA" w14:textId="77777777" w:rsidR="008775EB" w:rsidRPr="004B27B7" w:rsidRDefault="00000000" w:rsidP="004B27B7">
      <w:pPr>
        <w:spacing w:line="360" w:lineRule="auto"/>
        <w:jc w:val="both"/>
        <w:rPr>
          <w:rFonts w:ascii="Times New Roman" w:eastAsia="Times New Roman" w:hAnsi="Times New Roman" w:cs="Times New Roman"/>
          <w:sz w:val="24"/>
          <w:szCs w:val="24"/>
        </w:rPr>
      </w:pPr>
      <w:r w:rsidRPr="004B27B7">
        <w:rPr>
          <w:rFonts w:ascii="Times New Roman" w:eastAsia="Times New Roman" w:hAnsi="Times New Roman" w:cs="Times New Roman"/>
          <w:noProof/>
          <w:sz w:val="24"/>
          <w:szCs w:val="24"/>
        </w:rPr>
        <mc:AlternateContent>
          <mc:Choice Requires="wps">
            <w:drawing>
              <wp:anchor distT="0" distB="0" distL="114300" distR="114300" simplePos="0" relativeHeight="251661312" behindDoc="1" locked="0" layoutInCell="1" allowOverlap="1" wp14:anchorId="32A3CC7A" wp14:editId="50E83A7D">
                <wp:simplePos x="0" y="0"/>
                <wp:positionH relativeFrom="column">
                  <wp:posOffset>2517140</wp:posOffset>
                </wp:positionH>
                <wp:positionV relativeFrom="paragraph">
                  <wp:posOffset>73660</wp:posOffset>
                </wp:positionV>
                <wp:extent cx="1000125" cy="45085"/>
                <wp:effectExtent l="0" t="38100" r="47625" b="88265"/>
                <wp:wrapTight wrapText="bothSides">
                  <wp:wrapPolygon edited="0">
                    <wp:start x="0" y="-18254"/>
                    <wp:lineTo x="18926" y="36507"/>
                    <wp:lineTo x="19337" y="54761"/>
                    <wp:lineTo x="21394" y="54761"/>
                    <wp:lineTo x="22217" y="18254"/>
                    <wp:lineTo x="20983" y="-18254"/>
                    <wp:lineTo x="0" y="-18254"/>
                  </wp:wrapPolygon>
                </wp:wrapTight>
                <wp:docPr id="468491114" name="Straight Arrow Connector 4"/>
                <wp:cNvGraphicFramePr/>
                <a:graphic xmlns:a="http://schemas.openxmlformats.org/drawingml/2006/main">
                  <a:graphicData uri="http://schemas.microsoft.com/office/word/2010/wordprocessingShape">
                    <wps:wsp>
                      <wps:cNvCnPr/>
                      <wps:spPr>
                        <a:xfrm>
                          <a:off x="0" y="0"/>
                          <a:ext cx="1000125" cy="4508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w:pict>
              <v:shape id="Straight Arrow Connector 4" o:spid="_x0000_s1026" o:spt="32" type="#_x0000_t32" style="position:absolute;left:0pt;margin-left:198.2pt;margin-top:5.8pt;height:3.55pt;width:78.75pt;mso-wrap-distance-left:9pt;mso-wrap-distance-right:9pt;z-index:-251655168;mso-width-relative:page;mso-height-relative:page;" filled="f" stroked="t" coordsize="21600,21600" wrapcoords="0 -18254 18926 36507 19337 54761 21394 54761 22217 18254 20983 -18254 0 -18254" o:gfxdata="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yNXAftoAAAAJAQAADwAAAAAAAAABACAAAAAiAAAAZHJzL2Rvd25yZXYueG1sUEsBAhQAFAAAAAgA&#10;h07iQHqXUunqAQAA2QMAAA4AAAAAAAAAAQAgAAAAKQEAAGRycy9lMm9Eb2MueG1sUEsFBgAAAAAG&#10;AAYAWQEAAIUFAAAAAA==&#10;">
                <v:fill on="f" focussize="0,0"/>
                <v:stroke color="#000000 [3213]" joinstyle="round" endarrow="block"/>
                <v:imagedata o:title=""/>
                <o:lock v:ext="edit" aspectratio="f"/>
                <w10:wrap type="tight"/>
              </v:shape>
            </w:pict>
          </mc:Fallback>
        </mc:AlternateContent>
      </w:r>
    </w:p>
    <w:p w14:paraId="25B0EC0A" w14:textId="77777777" w:rsidR="008775EB" w:rsidRPr="004B27B7" w:rsidRDefault="008775EB" w:rsidP="004B27B7">
      <w:pPr>
        <w:spacing w:line="360" w:lineRule="auto"/>
        <w:jc w:val="both"/>
        <w:rPr>
          <w:rFonts w:ascii="Times New Roman" w:eastAsia="Times New Roman" w:hAnsi="Times New Roman" w:cs="Times New Roman"/>
          <w:sz w:val="24"/>
          <w:szCs w:val="24"/>
        </w:rPr>
      </w:pPr>
    </w:p>
    <w:p w14:paraId="0F5C0A16" w14:textId="77777777" w:rsidR="008775EB" w:rsidRPr="004B27B7" w:rsidRDefault="00000000" w:rsidP="004B27B7">
      <w:pPr>
        <w:spacing w:line="360" w:lineRule="auto"/>
        <w:jc w:val="center"/>
        <w:rPr>
          <w:rFonts w:ascii="Times New Roman" w:eastAsia="Times New Roman" w:hAnsi="Times New Roman" w:cs="Times New Roman"/>
          <w:sz w:val="24"/>
          <w:szCs w:val="24"/>
        </w:rPr>
      </w:pPr>
      <w:r w:rsidRPr="004B27B7">
        <w:rPr>
          <w:rFonts w:ascii="Times New Roman" w:eastAsia="Times New Roman" w:hAnsi="Times New Roman" w:cs="Times New Roman"/>
          <w:sz w:val="24"/>
          <w:szCs w:val="24"/>
        </w:rPr>
        <w:t>Gambar 1.  Skema kerangka Pemikiran</w:t>
      </w:r>
    </w:p>
    <w:p w14:paraId="58FBA849" w14:textId="77777777" w:rsidR="008775EB" w:rsidRPr="004B27B7" w:rsidRDefault="00000000" w:rsidP="004B27B7">
      <w:pPr>
        <w:spacing w:line="360" w:lineRule="auto"/>
        <w:ind w:firstLine="720"/>
        <w:jc w:val="both"/>
        <w:rPr>
          <w:rFonts w:ascii="Times New Roman" w:eastAsia="Times New Roman" w:hAnsi="Times New Roman" w:cs="Times New Roman"/>
          <w:sz w:val="24"/>
          <w:szCs w:val="24"/>
        </w:rPr>
      </w:pPr>
      <w:r w:rsidRPr="004B27B7">
        <w:rPr>
          <w:rFonts w:ascii="Times New Roman" w:eastAsia="Times New Roman" w:hAnsi="Times New Roman" w:cs="Times New Roman"/>
          <w:sz w:val="24"/>
          <w:szCs w:val="24"/>
        </w:rPr>
        <w:t>Berdasarkan kerangka pemikiran yang telah disajikan, hipotesis yang diajukan dalam penelitian ini dapat dirinci sebagai berikut:</w:t>
      </w:r>
    </w:p>
    <w:p w14:paraId="4973DE7F" w14:textId="77777777" w:rsidR="008775EB" w:rsidRPr="00C63859" w:rsidRDefault="00000000" w:rsidP="004B27B7">
      <w:pPr>
        <w:spacing w:line="360" w:lineRule="auto"/>
        <w:jc w:val="both"/>
        <w:rPr>
          <w:rFonts w:ascii="Times New Roman" w:eastAsia="Times New Roman" w:hAnsi="Times New Roman" w:cs="Times New Roman"/>
          <w:b/>
          <w:bCs/>
          <w:sz w:val="24"/>
          <w:szCs w:val="24"/>
        </w:rPr>
      </w:pPr>
      <w:r w:rsidRPr="004B27B7">
        <w:rPr>
          <w:rFonts w:ascii="Times New Roman" w:eastAsia="Times New Roman" w:hAnsi="Times New Roman" w:cs="Times New Roman"/>
          <w:b/>
          <w:bCs/>
          <w:sz w:val="24"/>
          <w:szCs w:val="24"/>
        </w:rPr>
        <w:t xml:space="preserve">Hubungan </w:t>
      </w:r>
      <w:r w:rsidRPr="004B27B7">
        <w:rPr>
          <w:rFonts w:ascii="Times New Roman" w:eastAsia="Times New Roman" w:hAnsi="Times New Roman" w:cs="Times New Roman"/>
          <w:b/>
          <w:bCs/>
          <w:i/>
          <w:iCs/>
          <w:sz w:val="24"/>
          <w:szCs w:val="24"/>
        </w:rPr>
        <w:t>Green Accounting</w:t>
      </w:r>
      <w:r w:rsidRPr="004B27B7">
        <w:rPr>
          <w:rFonts w:ascii="Times New Roman" w:eastAsia="Times New Roman" w:hAnsi="Times New Roman" w:cs="Times New Roman"/>
          <w:b/>
          <w:bCs/>
          <w:sz w:val="24"/>
          <w:szCs w:val="24"/>
        </w:rPr>
        <w:t xml:space="preserve"> terhadap </w:t>
      </w:r>
      <w:r w:rsidRPr="00C63859">
        <w:rPr>
          <w:rFonts w:ascii="Times New Roman" w:eastAsia="Times New Roman" w:hAnsi="Times New Roman" w:cs="Times New Roman"/>
          <w:b/>
          <w:bCs/>
          <w:sz w:val="24"/>
          <w:szCs w:val="24"/>
        </w:rPr>
        <w:t>Profitabilitas</w:t>
      </w:r>
    </w:p>
    <w:p w14:paraId="0B45A566" w14:textId="3B033BC0" w:rsidR="008775EB" w:rsidRPr="004B27B7" w:rsidRDefault="00000000" w:rsidP="002C4D83">
      <w:pPr>
        <w:spacing w:line="360" w:lineRule="auto"/>
        <w:ind w:firstLine="720"/>
        <w:jc w:val="both"/>
        <w:rPr>
          <w:rFonts w:ascii="Times New Roman" w:eastAsia="Times New Roman" w:hAnsi="Times New Roman" w:cs="Times New Roman"/>
          <w:sz w:val="24"/>
          <w:szCs w:val="24"/>
        </w:rPr>
      </w:pPr>
      <w:r w:rsidRPr="004B27B7">
        <w:rPr>
          <w:rFonts w:ascii="Times New Roman" w:eastAsia="Times New Roman" w:hAnsi="Times New Roman" w:cs="Times New Roman"/>
          <w:sz w:val="24"/>
          <w:szCs w:val="24"/>
        </w:rPr>
        <w:t xml:space="preserve">Menurut Lako (2014), </w:t>
      </w:r>
      <w:r w:rsidRPr="004B27B7">
        <w:rPr>
          <w:rFonts w:ascii="Times New Roman" w:eastAsia="Times New Roman" w:hAnsi="Times New Roman" w:cs="Times New Roman"/>
          <w:i/>
          <w:iCs/>
          <w:sz w:val="24"/>
          <w:szCs w:val="24"/>
        </w:rPr>
        <w:t>green accounting</w:t>
      </w:r>
      <w:r w:rsidRPr="004B27B7">
        <w:rPr>
          <w:rFonts w:ascii="Times New Roman" w:eastAsia="Times New Roman" w:hAnsi="Times New Roman" w:cs="Times New Roman"/>
          <w:sz w:val="24"/>
          <w:szCs w:val="24"/>
        </w:rPr>
        <w:t xml:space="preserve"> </w:t>
      </w:r>
      <w:r w:rsidR="002C4D83" w:rsidRPr="002C4D83">
        <w:rPr>
          <w:rFonts w:ascii="Times New Roman" w:eastAsia="Times New Roman" w:hAnsi="Times New Roman" w:cs="Times New Roman"/>
          <w:sz w:val="24"/>
          <w:szCs w:val="24"/>
        </w:rPr>
        <w:t xml:space="preserve">merupakan paradigma baru dalam akuntansi yang menekankan bahwa proses akuntansi tidak hanya </w:t>
      </w:r>
      <w:r w:rsidR="002C4D83">
        <w:rPr>
          <w:rFonts w:ascii="Times New Roman" w:eastAsia="Times New Roman" w:hAnsi="Times New Roman" w:cs="Times New Roman"/>
          <w:sz w:val="24"/>
          <w:szCs w:val="24"/>
        </w:rPr>
        <w:t>ber</w:t>
      </w:r>
      <w:r w:rsidR="002C4D83" w:rsidRPr="002C4D83">
        <w:rPr>
          <w:rFonts w:ascii="Times New Roman" w:eastAsia="Times New Roman" w:hAnsi="Times New Roman" w:cs="Times New Roman"/>
          <w:sz w:val="24"/>
          <w:szCs w:val="24"/>
        </w:rPr>
        <w:t>fokus pada informasi laba/rugi perusahaan, tetapi juga mencakup informasi sosial dan lingkungan</w:t>
      </w:r>
      <w:r w:rsidR="00177DFC">
        <w:rPr>
          <w:rFonts w:ascii="Times New Roman" w:eastAsia="Times New Roman" w:hAnsi="Times New Roman" w:cs="Times New Roman"/>
          <w:sz w:val="24"/>
          <w:szCs w:val="24"/>
        </w:rPr>
        <w:t xml:space="preserve"> </w:t>
      </w:r>
      <w:r w:rsidRPr="004B27B7">
        <w:rPr>
          <w:rFonts w:ascii="Times New Roman" w:eastAsia="Times New Roman" w:hAnsi="Times New Roman" w:cs="Times New Roman"/>
          <w:sz w:val="24"/>
          <w:szCs w:val="24"/>
        </w:rPr>
        <w:fldChar w:fldCharType="begin" w:fldLock="1"/>
      </w:r>
      <w:r w:rsidRPr="004B27B7">
        <w:rPr>
          <w:rFonts w:ascii="Times New Roman" w:eastAsia="Times New Roman" w:hAnsi="Times New Roman" w:cs="Times New Roman"/>
          <w:sz w:val="24"/>
          <w:szCs w:val="24"/>
        </w:rPr>
        <w:instrText>ADDIN CSL_CITATION {"citationItems":[{"id":"ITEM-1","itemData":{"abstract":"Penelitian ini bertujuan untuk mengetahui pengaruh kinerja lingkungan terhadap nilai perusahaan, kinerja lingkungan terhadap kinerja keuangan, kinerja keuangan terhadap nilai perusahaan dan kinerja lingkungan terhadap nilai perusahaan melalui kinerja keuangan sebagai variabel intervening pada perusahaan manufaktur sektor industri dasar dan kimia yang terdaftar di Bursa Efek Indonesia periode 2016-2020. Metode yang digunakan dalam penelitian ini adalah metode deskriptif. Metode pemilihan sampel yang digunakan dalam penelitian ini adalah metode purposive sampling diperoleh 65 sampel perusahaan sektor industri dasar dan kimia yang terdaftar di Bursa Efek Indonesia periode 2016-2020. Hasil penelitian ini menunjukkan bahwa terdapat pengaruh antara kinerja lingkungan terhadap nilai perusahaan, terdapat pengaruh antara kinerja keuangan terhadap nilai perusahaan, tidak terdapat pengaruh antara kinerja lingkungan terhadap kinerja keuangan dan kinerja keuangan tidak mampu memediasi antara kinerja lingkungan terhadap nilai perusahaan.","author":[{"dropping-particle":"","family":"Putri","given":"Yola Farista Utami","non-dropping-particle":"","parse-names":false,"suffix":""},{"dropping-particle":"","family":"Eni Indriani","given":"","non-dropping-particle":"","parse-names":false,"suffix":""},{"dropping-particle":"","family":"Hudaya","given":"Robith","non-dropping-particle":"","parse-names":false,"suffix":""}],"container-title":"INNOVATIVE: Journal Of Social Science Research","id":"ITEM-1","issue":"1","issued":{"date-parts":[["2024"]]},"page":"6337-6351","title":"Analisis Pengaruh Kinerja Lingkungan Dan Biaya Lingkungan Terhadap Nilai Perusahaan Dengan Kinerja Keuangan Sebagai Variabel Intervening","type":"article-journal","volume":"4"},"uris":["http://www.mendeley.com/documents/?uuid=b0f5ccfd-fdf8-4650-aeb2-15fca3deb084"]}],"mendeley":{"formattedCitation":"(Putri et al., 2024)","plainTextFormattedCitation":"(Putri et al., 2024)","previouslyFormattedCitation":"(Putri et al., 2024)"},"properties":{"noteIndex":0},"schema":"https://github.com/citation-style-language/schema/raw/master/csl-citation.json"}</w:instrText>
      </w:r>
      <w:r w:rsidRPr="004B27B7">
        <w:rPr>
          <w:rFonts w:ascii="Times New Roman" w:eastAsia="Times New Roman" w:hAnsi="Times New Roman" w:cs="Times New Roman"/>
          <w:sz w:val="24"/>
          <w:szCs w:val="24"/>
        </w:rPr>
        <w:fldChar w:fldCharType="separate"/>
      </w:r>
      <w:r w:rsidRPr="004B27B7">
        <w:rPr>
          <w:rFonts w:ascii="Times New Roman" w:eastAsia="Times New Roman" w:hAnsi="Times New Roman" w:cs="Times New Roman"/>
          <w:noProof/>
          <w:sz w:val="24"/>
          <w:szCs w:val="24"/>
        </w:rPr>
        <w:t>(Putri et al., 2024)</w:t>
      </w:r>
      <w:r w:rsidRPr="004B27B7">
        <w:rPr>
          <w:rFonts w:ascii="Times New Roman" w:eastAsia="Times New Roman" w:hAnsi="Times New Roman" w:cs="Times New Roman"/>
          <w:sz w:val="24"/>
          <w:szCs w:val="24"/>
        </w:rPr>
        <w:fldChar w:fldCharType="end"/>
      </w:r>
      <w:r w:rsidRPr="004B27B7">
        <w:rPr>
          <w:rFonts w:ascii="Times New Roman" w:eastAsia="Times New Roman" w:hAnsi="Times New Roman" w:cs="Times New Roman"/>
          <w:sz w:val="24"/>
          <w:szCs w:val="24"/>
        </w:rPr>
        <w:t>. Konsep</w:t>
      </w:r>
      <w:r w:rsidR="003909BF">
        <w:rPr>
          <w:rFonts w:ascii="Times New Roman" w:eastAsia="Times New Roman" w:hAnsi="Times New Roman" w:cs="Times New Roman"/>
          <w:sz w:val="24"/>
          <w:szCs w:val="24"/>
        </w:rPr>
        <w:t xml:space="preserve"> </w:t>
      </w:r>
      <w:r w:rsidRPr="004B27B7">
        <w:rPr>
          <w:rFonts w:ascii="Times New Roman" w:eastAsia="Times New Roman" w:hAnsi="Times New Roman" w:cs="Times New Roman"/>
          <w:i/>
          <w:iCs/>
          <w:sz w:val="24"/>
          <w:szCs w:val="24"/>
        </w:rPr>
        <w:t>green accounting</w:t>
      </w:r>
      <w:r w:rsidRPr="004B27B7">
        <w:rPr>
          <w:rFonts w:ascii="Times New Roman" w:eastAsia="Times New Roman" w:hAnsi="Times New Roman" w:cs="Times New Roman"/>
          <w:sz w:val="24"/>
          <w:szCs w:val="24"/>
        </w:rPr>
        <w:t xml:space="preserve"> me</w:t>
      </w:r>
      <w:r w:rsidR="002C4D83">
        <w:rPr>
          <w:rFonts w:ascii="Times New Roman" w:eastAsia="Times New Roman" w:hAnsi="Times New Roman" w:cs="Times New Roman"/>
          <w:sz w:val="24"/>
          <w:szCs w:val="24"/>
        </w:rPr>
        <w:t>liputi</w:t>
      </w:r>
      <w:r w:rsidRPr="004B27B7">
        <w:rPr>
          <w:rFonts w:ascii="Times New Roman" w:eastAsia="Times New Roman" w:hAnsi="Times New Roman" w:cs="Times New Roman"/>
          <w:sz w:val="24"/>
          <w:szCs w:val="24"/>
        </w:rPr>
        <w:t xml:space="preserve"> </w:t>
      </w:r>
      <w:r w:rsidR="002C4D83">
        <w:rPr>
          <w:rFonts w:ascii="Times New Roman" w:eastAsia="Times New Roman" w:hAnsi="Times New Roman" w:cs="Times New Roman"/>
          <w:sz w:val="24"/>
          <w:szCs w:val="24"/>
        </w:rPr>
        <w:t>identifikasi</w:t>
      </w:r>
      <w:r w:rsidRPr="004B27B7">
        <w:rPr>
          <w:rFonts w:ascii="Times New Roman" w:eastAsia="Times New Roman" w:hAnsi="Times New Roman" w:cs="Times New Roman"/>
          <w:sz w:val="24"/>
          <w:szCs w:val="24"/>
        </w:rPr>
        <w:t xml:space="preserve">, </w:t>
      </w:r>
      <w:r w:rsidR="002C4D83">
        <w:rPr>
          <w:rFonts w:ascii="Times New Roman" w:eastAsia="Times New Roman" w:hAnsi="Times New Roman" w:cs="Times New Roman"/>
          <w:sz w:val="24"/>
          <w:szCs w:val="24"/>
        </w:rPr>
        <w:t>pe</w:t>
      </w:r>
      <w:r w:rsidRPr="004B27B7">
        <w:rPr>
          <w:rFonts w:ascii="Times New Roman" w:eastAsia="Times New Roman" w:hAnsi="Times New Roman" w:cs="Times New Roman"/>
          <w:sz w:val="24"/>
          <w:szCs w:val="24"/>
        </w:rPr>
        <w:t>ngukur</w:t>
      </w:r>
      <w:r w:rsidR="002C4D83">
        <w:rPr>
          <w:rFonts w:ascii="Times New Roman" w:eastAsia="Times New Roman" w:hAnsi="Times New Roman" w:cs="Times New Roman"/>
          <w:sz w:val="24"/>
          <w:szCs w:val="24"/>
        </w:rPr>
        <w:t>an</w:t>
      </w:r>
      <w:r w:rsidRPr="004B27B7">
        <w:rPr>
          <w:rFonts w:ascii="Times New Roman" w:eastAsia="Times New Roman" w:hAnsi="Times New Roman" w:cs="Times New Roman"/>
          <w:sz w:val="24"/>
          <w:szCs w:val="24"/>
        </w:rPr>
        <w:t xml:space="preserve">, </w:t>
      </w:r>
      <w:r w:rsidR="002C4D83">
        <w:rPr>
          <w:rFonts w:ascii="Times New Roman" w:eastAsia="Times New Roman" w:hAnsi="Times New Roman" w:cs="Times New Roman"/>
          <w:sz w:val="24"/>
          <w:szCs w:val="24"/>
        </w:rPr>
        <w:t>alokasi anggaran area</w:t>
      </w:r>
      <w:r w:rsidRPr="004B27B7">
        <w:rPr>
          <w:rFonts w:ascii="Times New Roman" w:eastAsia="Times New Roman" w:hAnsi="Times New Roman" w:cs="Times New Roman"/>
          <w:sz w:val="24"/>
          <w:szCs w:val="24"/>
        </w:rPr>
        <w:t xml:space="preserve">, </w:t>
      </w:r>
      <w:r w:rsidR="002C4D83">
        <w:rPr>
          <w:rFonts w:ascii="Times New Roman" w:eastAsia="Times New Roman" w:hAnsi="Times New Roman" w:cs="Times New Roman"/>
          <w:sz w:val="24"/>
          <w:szCs w:val="24"/>
        </w:rPr>
        <w:t>serta</w:t>
      </w:r>
      <w:r w:rsidR="003909BF">
        <w:rPr>
          <w:rFonts w:ascii="Times New Roman" w:eastAsia="Times New Roman" w:hAnsi="Times New Roman" w:cs="Times New Roman"/>
          <w:sz w:val="24"/>
          <w:szCs w:val="24"/>
        </w:rPr>
        <w:t xml:space="preserve"> </w:t>
      </w:r>
      <w:r w:rsidRPr="004B27B7">
        <w:rPr>
          <w:rFonts w:ascii="Times New Roman" w:eastAsia="Times New Roman" w:hAnsi="Times New Roman" w:cs="Times New Roman"/>
          <w:sz w:val="24"/>
          <w:szCs w:val="24"/>
        </w:rPr>
        <w:t xml:space="preserve">mengintegrasikan anggaran tersebut ke </w:t>
      </w:r>
      <w:r w:rsidR="00C63859">
        <w:rPr>
          <w:rFonts w:ascii="Times New Roman" w:eastAsia="Times New Roman" w:hAnsi="Times New Roman" w:cs="Times New Roman"/>
          <w:sz w:val="24"/>
          <w:szCs w:val="24"/>
        </w:rPr>
        <w:t xml:space="preserve">dalam </w:t>
      </w:r>
      <w:r w:rsidRPr="004B27B7">
        <w:rPr>
          <w:rFonts w:ascii="Times New Roman" w:eastAsia="Times New Roman" w:hAnsi="Times New Roman" w:cs="Times New Roman"/>
          <w:sz w:val="24"/>
          <w:szCs w:val="24"/>
        </w:rPr>
        <w:t>operasional perusahaan, termasuk penentuan</w:t>
      </w:r>
      <w:r w:rsidR="00C63859">
        <w:rPr>
          <w:rFonts w:ascii="Times New Roman" w:eastAsia="Times New Roman" w:hAnsi="Times New Roman" w:cs="Times New Roman"/>
          <w:sz w:val="24"/>
          <w:szCs w:val="24"/>
        </w:rPr>
        <w:t xml:space="preserve"> tanggung jawab</w:t>
      </w:r>
      <w:r w:rsidRPr="004B27B7">
        <w:rPr>
          <w:rFonts w:ascii="Times New Roman" w:eastAsia="Times New Roman" w:hAnsi="Times New Roman" w:cs="Times New Roman"/>
          <w:sz w:val="24"/>
          <w:szCs w:val="24"/>
        </w:rPr>
        <w:t xml:space="preserve"> perusahaan terhadap lingkungan</w:t>
      </w:r>
      <w:r w:rsidR="00177DFC">
        <w:rPr>
          <w:rFonts w:ascii="Times New Roman" w:eastAsia="Times New Roman" w:hAnsi="Times New Roman" w:cs="Times New Roman"/>
          <w:sz w:val="24"/>
          <w:szCs w:val="24"/>
        </w:rPr>
        <w:t xml:space="preserve"> </w:t>
      </w:r>
      <w:r w:rsidRPr="004B27B7">
        <w:rPr>
          <w:rFonts w:ascii="Times New Roman" w:eastAsia="Times New Roman" w:hAnsi="Times New Roman" w:cs="Times New Roman"/>
          <w:sz w:val="24"/>
          <w:szCs w:val="24"/>
        </w:rPr>
        <w:fldChar w:fldCharType="begin" w:fldLock="1"/>
      </w:r>
      <w:r w:rsidRPr="004B27B7">
        <w:rPr>
          <w:rFonts w:ascii="Times New Roman" w:eastAsia="Times New Roman" w:hAnsi="Times New Roman" w:cs="Times New Roman"/>
          <w:sz w:val="24"/>
          <w:szCs w:val="24"/>
        </w:rPr>
        <w:instrText>ADDIN CSL_CITATION {"citationItems":[{"id":"ITEM-1","itemData":{"DOI":"10.32877/ef.v7i1.1705","ISSN":"2656-0941","abstract":"This study aims to analyze the impact of green accounting practices and environmental performance on profitability, measured by the return on assets (ROA) ratio. A quantitative approach is used, relying on secondary data sources. The population consists of 45 mining companies listed on the Indonesia Stock Exchange from 2019 to 2023, and a sample of 11 companies was selected through purposive sampling. Data collection was carried out using documentation, drawing from financial statements, annual reports, and sustainability reports of the sampled companies for the 2019-2023 period. The data were then analyzed with SPSS version 25. In this study, green accounting is assessed through environmental costs, while environmental performance is evaluated using the PROPER rating. Statistical tests conducted include descriptive statistics, classical assumption tests, multiple linear regression, and hypothesis testing. The findings indicate that green accounting has a significant negative effect on company profitability, while environmental performance shows no impact on profitability individually, though both variables together do influence profitability","author":[{"dropping-particle":"","family":"Okterianda","given":"Yona","non-dropping-particle":"","parse-names":false,"suffix":""},{"dropping-particle":"","family":"Pentiana","given":"Destia","non-dropping-particle":"","parse-names":false,"suffix":""},{"dropping-particle":"","family":"Nurmala","given":"Nurmala","non-dropping-particle":"","parse-names":false,"suffix":""}],"container-title":"eCo-Fin","id":"ITEM-1","issue":"1","issued":{"date-parts":[["2025"]]},"page":"24-33","title":"Pengaruh Green Accounting dan Kinerja Lingkungan Terhadap Profitabilitas Perusahaan Pertambangan di Bursa Efek Indonesia Tahun 2019-2023)","type":"article-journal","volume":"7"},"uris":["http://www.mendeley.com/documents/?uuid=7edfd2d2-40f5-40f1-a82b-23577120cacc"]}],"mendeley":{"formattedCitation":"(Okterianda et al., 2025)","plainTextFormattedCitation":"(Okterianda et al., 2025)","previouslyFormattedCitation":"(Okterianda et al., 2025)"},"properties":{"noteIndex":0},"schema":"https://github.com/citation-style-language/schema/raw/master/csl-citation.json"}</w:instrText>
      </w:r>
      <w:r w:rsidRPr="004B27B7">
        <w:rPr>
          <w:rFonts w:ascii="Times New Roman" w:eastAsia="Times New Roman" w:hAnsi="Times New Roman" w:cs="Times New Roman"/>
          <w:sz w:val="24"/>
          <w:szCs w:val="24"/>
        </w:rPr>
        <w:fldChar w:fldCharType="separate"/>
      </w:r>
      <w:r w:rsidRPr="004B27B7">
        <w:rPr>
          <w:rFonts w:ascii="Times New Roman" w:eastAsia="Times New Roman" w:hAnsi="Times New Roman" w:cs="Times New Roman"/>
          <w:noProof/>
          <w:sz w:val="24"/>
          <w:szCs w:val="24"/>
        </w:rPr>
        <w:t>(Okterianda et al., 2025)</w:t>
      </w:r>
      <w:r w:rsidRPr="004B27B7">
        <w:rPr>
          <w:rFonts w:ascii="Times New Roman" w:eastAsia="Times New Roman" w:hAnsi="Times New Roman" w:cs="Times New Roman"/>
          <w:sz w:val="24"/>
          <w:szCs w:val="24"/>
        </w:rPr>
        <w:fldChar w:fldCharType="end"/>
      </w:r>
      <w:r w:rsidRPr="004B27B7">
        <w:rPr>
          <w:rFonts w:ascii="Times New Roman" w:eastAsia="Times New Roman" w:hAnsi="Times New Roman" w:cs="Times New Roman"/>
          <w:sz w:val="24"/>
          <w:szCs w:val="24"/>
        </w:rPr>
        <w:t xml:space="preserve">. Dengan menerapkan </w:t>
      </w:r>
      <w:r w:rsidRPr="004B27B7">
        <w:rPr>
          <w:rFonts w:ascii="Times New Roman" w:eastAsia="Times New Roman" w:hAnsi="Times New Roman" w:cs="Times New Roman"/>
          <w:i/>
          <w:iCs/>
          <w:sz w:val="24"/>
          <w:szCs w:val="24"/>
        </w:rPr>
        <w:t>green accounting</w:t>
      </w:r>
      <w:r w:rsidRPr="004B27B7">
        <w:rPr>
          <w:rFonts w:ascii="Times New Roman" w:eastAsia="Times New Roman" w:hAnsi="Times New Roman" w:cs="Times New Roman"/>
          <w:sz w:val="24"/>
          <w:szCs w:val="24"/>
        </w:rPr>
        <w:t xml:space="preserve">, perusahaan akan mengeluarkan suatu biaya lingkungan </w:t>
      </w:r>
      <w:r w:rsidR="00C63859">
        <w:rPr>
          <w:rFonts w:ascii="Times New Roman" w:eastAsia="Times New Roman" w:hAnsi="Times New Roman" w:cs="Times New Roman"/>
          <w:sz w:val="24"/>
          <w:szCs w:val="24"/>
        </w:rPr>
        <w:t xml:space="preserve">sebagai </w:t>
      </w:r>
      <w:r w:rsidRPr="004B27B7">
        <w:rPr>
          <w:rFonts w:ascii="Times New Roman" w:eastAsia="Times New Roman" w:hAnsi="Times New Roman" w:cs="Times New Roman"/>
          <w:sz w:val="24"/>
          <w:szCs w:val="24"/>
        </w:rPr>
        <w:t xml:space="preserve">bukti atau tanggung jawab perusahaan atas kegiatan operasional yang berdampak terhadap lingkungan dan masyarakat. </w:t>
      </w:r>
      <w:r w:rsidR="00C63859">
        <w:rPr>
          <w:rFonts w:ascii="Times New Roman" w:eastAsia="Times New Roman" w:hAnsi="Times New Roman" w:cs="Times New Roman"/>
          <w:sz w:val="24"/>
          <w:szCs w:val="24"/>
        </w:rPr>
        <w:t xml:space="preserve">Apabila </w:t>
      </w:r>
      <w:r w:rsidRPr="004B27B7">
        <w:rPr>
          <w:rFonts w:ascii="Times New Roman" w:eastAsia="Times New Roman" w:hAnsi="Times New Roman" w:cs="Times New Roman"/>
          <w:sz w:val="24"/>
          <w:szCs w:val="24"/>
        </w:rPr>
        <w:t>perusahaan men</w:t>
      </w:r>
      <w:r w:rsidR="00C63859">
        <w:rPr>
          <w:rFonts w:ascii="Times New Roman" w:eastAsia="Times New Roman" w:hAnsi="Times New Roman" w:cs="Times New Roman"/>
          <w:sz w:val="24"/>
          <w:szCs w:val="24"/>
        </w:rPr>
        <w:t>anggung</w:t>
      </w:r>
      <w:r w:rsidRPr="004B27B7">
        <w:rPr>
          <w:rFonts w:ascii="Times New Roman" w:eastAsia="Times New Roman" w:hAnsi="Times New Roman" w:cs="Times New Roman"/>
          <w:sz w:val="24"/>
          <w:szCs w:val="24"/>
        </w:rPr>
        <w:t xml:space="preserve"> biaya lingkungan tersebut, maka akan berpengaruh</w:t>
      </w:r>
      <w:r w:rsidR="00C63859">
        <w:rPr>
          <w:rFonts w:ascii="Times New Roman" w:eastAsia="Times New Roman" w:hAnsi="Times New Roman" w:cs="Times New Roman"/>
          <w:sz w:val="24"/>
          <w:szCs w:val="24"/>
        </w:rPr>
        <w:t xml:space="preserve"> pada</w:t>
      </w:r>
      <w:r w:rsidRPr="004B27B7">
        <w:rPr>
          <w:rFonts w:ascii="Times New Roman" w:eastAsia="Times New Roman" w:hAnsi="Times New Roman" w:cs="Times New Roman"/>
          <w:sz w:val="24"/>
          <w:szCs w:val="24"/>
        </w:rPr>
        <w:t xml:space="preserve"> </w:t>
      </w:r>
      <w:r w:rsidRPr="00C63859">
        <w:rPr>
          <w:rFonts w:ascii="Times New Roman" w:eastAsia="Times New Roman" w:hAnsi="Times New Roman" w:cs="Times New Roman"/>
          <w:sz w:val="24"/>
          <w:szCs w:val="24"/>
        </w:rPr>
        <w:t xml:space="preserve">profitabilitas </w:t>
      </w:r>
      <w:r w:rsidRPr="004B27B7">
        <w:rPr>
          <w:rFonts w:ascii="Times New Roman" w:eastAsia="Times New Roman" w:hAnsi="Times New Roman" w:cs="Times New Roman"/>
          <w:sz w:val="24"/>
          <w:szCs w:val="24"/>
        </w:rPr>
        <w:t>perusahaan</w:t>
      </w:r>
      <w:r w:rsidR="00177DFC">
        <w:rPr>
          <w:rFonts w:ascii="Times New Roman" w:eastAsia="Times New Roman" w:hAnsi="Times New Roman" w:cs="Times New Roman"/>
          <w:sz w:val="24"/>
          <w:szCs w:val="24"/>
        </w:rPr>
        <w:t xml:space="preserve"> </w:t>
      </w:r>
      <w:r w:rsidRPr="004B27B7">
        <w:rPr>
          <w:rFonts w:ascii="Times New Roman" w:eastAsia="Times New Roman" w:hAnsi="Times New Roman" w:cs="Times New Roman"/>
          <w:sz w:val="24"/>
          <w:szCs w:val="24"/>
        </w:rPr>
        <w:fldChar w:fldCharType="begin" w:fldLock="1"/>
      </w:r>
      <w:r w:rsidRPr="004B27B7">
        <w:rPr>
          <w:rFonts w:ascii="Times New Roman" w:eastAsia="Times New Roman" w:hAnsi="Times New Roman" w:cs="Times New Roman"/>
          <w:sz w:val="24"/>
          <w:szCs w:val="24"/>
        </w:rPr>
        <w:instrText>ADDIN CSL_CITATION {"citationItems":[{"id":"ITEM-1","itemData":{"abstract":"This study aims to examine the effect of Green Accounting and Corporate Social Responsibility on Profitability. The object of this research is the mining sub-sector energy sector companies listed on the IDX in 2019-2021 with certain criteria. The sampling method in this study was purposive sampling by producing a sample of 45 samples. The data analysis technique in this study used Stata14 with the results of Green Accounting research affecting profitability and Corporate Social Responsibility having no effect on profitability.","author":[{"dropping-particle":"","family":"Aziz","given":"Ziral Aditya","non-dropping-particle":"","parse-names":false,"suffix":""},{"dropping-particle":"","family":"Kholmi","given":"Masiyah","non-dropping-particle":"","parse-names":false,"suffix":""}],"container-title":"urnal Ekonomi Akuntansi Dan Manajemen","id":"ITEM-1","issue":"246","issued":{"date-parts":[["2024"]]},"page":"54-63","title":"Pengaruh Green Accounting dan corporate Social Responsibility terhadap Profitabilitas (Studi Empiris pada Perusahaan Energi Sub Sektor Pertambangan yang Terdaftar di BEI Tahun 2019-2021)","type":"article-journal","volume":"23"},"uris":["http://www.mendeley.com/documents/?uuid=7e39616f-6e66-4308-a53f-f5b0f5c6e83d"]}],"mendeley":{"formattedCitation":"(Aziz &amp; Kholmi, 2024)","plainTextFormattedCitation":"(Aziz &amp; Kholmi, 2024)","previouslyFormattedCitation":"(Aziz &amp; Kholmi, 2024)"},"properties":{"noteIndex":0},"schema":"https://github.com/citation-style-language/schema/raw/master/csl-citation.json"}</w:instrText>
      </w:r>
      <w:r w:rsidRPr="004B27B7">
        <w:rPr>
          <w:rFonts w:ascii="Times New Roman" w:eastAsia="Times New Roman" w:hAnsi="Times New Roman" w:cs="Times New Roman"/>
          <w:sz w:val="24"/>
          <w:szCs w:val="24"/>
        </w:rPr>
        <w:fldChar w:fldCharType="separate"/>
      </w:r>
      <w:r w:rsidRPr="004B27B7">
        <w:rPr>
          <w:rFonts w:ascii="Times New Roman" w:eastAsia="Times New Roman" w:hAnsi="Times New Roman" w:cs="Times New Roman"/>
          <w:noProof/>
          <w:sz w:val="24"/>
          <w:szCs w:val="24"/>
        </w:rPr>
        <w:t>(Aziz &amp; Kholmi, 2024)</w:t>
      </w:r>
      <w:r w:rsidRPr="004B27B7">
        <w:rPr>
          <w:rFonts w:ascii="Times New Roman" w:eastAsia="Times New Roman" w:hAnsi="Times New Roman" w:cs="Times New Roman"/>
          <w:sz w:val="24"/>
          <w:szCs w:val="24"/>
        </w:rPr>
        <w:fldChar w:fldCharType="end"/>
      </w:r>
      <w:r w:rsidRPr="004B27B7">
        <w:rPr>
          <w:rFonts w:ascii="Times New Roman" w:eastAsia="Times New Roman" w:hAnsi="Times New Roman" w:cs="Times New Roman"/>
          <w:sz w:val="24"/>
          <w:szCs w:val="24"/>
        </w:rPr>
        <w:t xml:space="preserve">. </w:t>
      </w:r>
    </w:p>
    <w:p w14:paraId="09E6F853" w14:textId="409CFCBD" w:rsidR="008775EB" w:rsidRPr="004B27B7" w:rsidRDefault="00000000" w:rsidP="004B27B7">
      <w:pPr>
        <w:spacing w:line="360" w:lineRule="auto"/>
        <w:ind w:firstLine="720"/>
        <w:jc w:val="both"/>
        <w:rPr>
          <w:rFonts w:ascii="Times New Roman" w:eastAsia="Times New Roman" w:hAnsi="Times New Roman" w:cs="Times New Roman"/>
          <w:sz w:val="24"/>
          <w:szCs w:val="24"/>
        </w:rPr>
      </w:pPr>
      <w:r w:rsidRPr="004B27B7">
        <w:rPr>
          <w:rFonts w:ascii="Times New Roman" w:eastAsia="Times New Roman" w:hAnsi="Times New Roman" w:cs="Times New Roman"/>
          <w:sz w:val="24"/>
          <w:szCs w:val="24"/>
        </w:rPr>
        <w:t xml:space="preserve">Penelitian yang telah dilakukan sebelumnya menunjukkan bahwa </w:t>
      </w:r>
      <w:r w:rsidRPr="004B27B7">
        <w:rPr>
          <w:rFonts w:ascii="Times New Roman" w:eastAsia="Times New Roman" w:hAnsi="Times New Roman" w:cs="Times New Roman"/>
          <w:i/>
          <w:iCs/>
          <w:sz w:val="24"/>
          <w:szCs w:val="24"/>
        </w:rPr>
        <w:t>green accounting</w:t>
      </w:r>
      <w:r w:rsidRPr="004B27B7">
        <w:rPr>
          <w:rFonts w:ascii="Times New Roman" w:eastAsia="Times New Roman" w:hAnsi="Times New Roman" w:cs="Times New Roman"/>
          <w:sz w:val="24"/>
          <w:szCs w:val="24"/>
        </w:rPr>
        <w:t xml:space="preserve"> tidak berpengaruh </w:t>
      </w:r>
      <w:r w:rsidRPr="00C63859">
        <w:rPr>
          <w:rFonts w:ascii="Times New Roman" w:eastAsia="Times New Roman" w:hAnsi="Times New Roman" w:cs="Times New Roman"/>
          <w:sz w:val="24"/>
          <w:szCs w:val="24"/>
        </w:rPr>
        <w:t>terhadap profitabilitas</w:t>
      </w:r>
      <w:r w:rsidRPr="004B27B7">
        <w:rPr>
          <w:rFonts w:ascii="Times New Roman" w:eastAsia="Times New Roman" w:hAnsi="Times New Roman" w:cs="Times New Roman"/>
          <w:sz w:val="24"/>
          <w:szCs w:val="24"/>
        </w:rPr>
        <w:t xml:space="preserve"> karena pengungkapan biaya lingkungan akan </w:t>
      </w:r>
      <w:r w:rsidR="00C63859">
        <w:rPr>
          <w:rFonts w:ascii="Times New Roman" w:eastAsia="Times New Roman" w:hAnsi="Times New Roman" w:cs="Times New Roman"/>
          <w:sz w:val="24"/>
          <w:szCs w:val="24"/>
        </w:rPr>
        <w:t>meningkatkan</w:t>
      </w:r>
      <w:r w:rsidRPr="004B27B7">
        <w:rPr>
          <w:rFonts w:ascii="Times New Roman" w:eastAsia="Times New Roman" w:hAnsi="Times New Roman" w:cs="Times New Roman"/>
          <w:sz w:val="24"/>
          <w:szCs w:val="24"/>
        </w:rPr>
        <w:t xml:space="preserve"> pajak yang harus dibayar</w:t>
      </w:r>
      <w:r w:rsidR="00177DFC">
        <w:rPr>
          <w:rFonts w:ascii="Times New Roman" w:eastAsia="Times New Roman" w:hAnsi="Times New Roman" w:cs="Times New Roman"/>
          <w:sz w:val="24"/>
          <w:szCs w:val="24"/>
        </w:rPr>
        <w:t xml:space="preserve"> </w:t>
      </w:r>
      <w:r w:rsidRPr="004B27B7">
        <w:rPr>
          <w:rFonts w:ascii="Times New Roman" w:eastAsia="Times New Roman" w:hAnsi="Times New Roman" w:cs="Times New Roman"/>
          <w:sz w:val="24"/>
          <w:szCs w:val="24"/>
        </w:rPr>
        <w:fldChar w:fldCharType="begin" w:fldLock="1"/>
      </w:r>
      <w:r w:rsidRPr="004B27B7">
        <w:rPr>
          <w:rFonts w:ascii="Times New Roman" w:eastAsia="Times New Roman" w:hAnsi="Times New Roman" w:cs="Times New Roman"/>
          <w:sz w:val="24"/>
          <w:szCs w:val="24"/>
        </w:rPr>
        <w:instrText>ADDIN CSL_CITATION {"citationItems":[{"id":"ITEM-1","itemData":{"DOI":"10.18196/rabin.v6i1.12998","ISSN":"2721-2238","abstract":"Latar Belakang: Salah satu yang masih menjadi perbincangan menarik di Indonesia di dalam perusahaan adalah isu sosial dan lingkungan. Fenomena tersebut sejalan dengan munculnya Peraturan Presiden No. 92 Tahun 2020 tentang Kementerian Lingkungan Hidup dan Kehutanan. Dengan demikian, informasi lingkungan yang disajikan dengan lengkap dan akurat akan menghasilkan kinerja lingkungan yang baik.Tujuan: Untuk menguji pengaruh penerapan Green Accounting dan Corporate Social Responsibility (CSR) terhadap Profitabilitas pada perusahaan manufaktur yang terdaftar di Bursa Efek Indonesia.Metode Penelitian: Dengan menggunakan data sekunder, penelitian ini bersumber pada annual report serta sustainability report periode 2018- 2019. Perusahaan manufaktur yang terdaftar di Bursa Efek Indonesia (BEI) pada tahun 2018-2019 menjadi kriteria data yang diambil. Pengolahan dan analisis data menggunakan SEM-Smart Partial Least Square (PLS).Hasil Penelitian: Green Accounting tidak memiliki pengaruh terhadap profitabilitas, sedangkanCorporate Social Responsibility berpengaruh positif terhadap profitabilitas. Hasil ini membuktikan bahwa masih banyak perusahaan manufaktur yang menggunakan sebagian keuntungannya untuk kegiatan sosialnya. Namun banyak perusahaan tidak mengungkapkan biaya lingkungan mereka karena perusahaan tidak ingin rugi dengan menambahkan biaya lingkungan.Keterbatasan Penelitian: Tidak berpengaruhnya green accounting terhadap profitabilitas dimungkinkan karena proxy yang digunakan masih belum bisa mempresentasikan proxy yang sebenarnya dari green accounting. Proxy lainnya untuk mengukur green accounting dapat dijadikan sebagai kajian penelitian selanjutnya.Keaslian/Novelty Penelitian: Penelitian ini dimotivasi oleh masih banyaknya perusahaan manufaktur yang belum mengungkapkan CSR walaupun sudah terdaftar di Bursa Efek Indonesia.","author":[{"dropping-particle":"","family":"Kholmi","given":"Masiyah","non-dropping-particle":"","parse-names":false,"suffix":""},{"dropping-particle":"","family":"Nafiza","given":"Saskia An","non-dropping-particle":"","parse-names":false,"suffix":""}],"container-title":"Reviu Akuntansi dan Bisnis Indonesia","id":"ITEM-1","issue":"1","issued":{"date-parts":[["2022"]]},"page":"143-155","title":"Pengaruh Penerapan Green Accounting dan Corporate Social Responsibility Terhadap Profitabilitas (Studi Pada Perusahaan Manufaktur Yang Terdaftar di BEI Tahun 2018-2019 )","type":"article-journal","volume":"6"},"uris":["http://www.mendeley.com/documents/?uuid=85c81fe3-d8f7-4a9b-9fb1-6963c3b0b7fb"]}],"mendeley":{"formattedCitation":"(Kholmi &amp; Nafiza, 2022)","plainTextFormattedCitation":"(Kholmi &amp; Nafiza, 2022)","previouslyFormattedCitation":"(Kholmi &amp; Nafiza, 2022)"},"properties":{"noteIndex":0},"schema":"https://github.com/citation-style-language/schema/raw/master/csl-citation.json"}</w:instrText>
      </w:r>
      <w:r w:rsidRPr="004B27B7">
        <w:rPr>
          <w:rFonts w:ascii="Times New Roman" w:eastAsia="Times New Roman" w:hAnsi="Times New Roman" w:cs="Times New Roman"/>
          <w:sz w:val="24"/>
          <w:szCs w:val="24"/>
        </w:rPr>
        <w:fldChar w:fldCharType="separate"/>
      </w:r>
      <w:r w:rsidRPr="004B27B7">
        <w:rPr>
          <w:rFonts w:ascii="Times New Roman" w:eastAsia="Times New Roman" w:hAnsi="Times New Roman" w:cs="Times New Roman"/>
          <w:noProof/>
          <w:sz w:val="24"/>
          <w:szCs w:val="24"/>
        </w:rPr>
        <w:t>(Kholmi &amp; Nafiza, 2022)</w:t>
      </w:r>
      <w:r w:rsidRPr="004B27B7">
        <w:rPr>
          <w:rFonts w:ascii="Times New Roman" w:eastAsia="Times New Roman" w:hAnsi="Times New Roman" w:cs="Times New Roman"/>
          <w:sz w:val="24"/>
          <w:szCs w:val="24"/>
        </w:rPr>
        <w:fldChar w:fldCharType="end"/>
      </w:r>
      <w:r w:rsidRPr="004B27B7">
        <w:rPr>
          <w:rFonts w:ascii="Times New Roman" w:eastAsia="Times New Roman" w:hAnsi="Times New Roman" w:cs="Times New Roman"/>
          <w:sz w:val="24"/>
          <w:szCs w:val="24"/>
        </w:rPr>
        <w:t>. Pandangan serupa di</w:t>
      </w:r>
      <w:r w:rsidR="00C63859">
        <w:rPr>
          <w:rFonts w:ascii="Times New Roman" w:eastAsia="Times New Roman" w:hAnsi="Times New Roman" w:cs="Times New Roman"/>
          <w:sz w:val="24"/>
          <w:szCs w:val="24"/>
        </w:rPr>
        <w:t>ungkapkan</w:t>
      </w:r>
      <w:r w:rsidRPr="004B27B7">
        <w:rPr>
          <w:rFonts w:ascii="Times New Roman" w:eastAsia="Times New Roman" w:hAnsi="Times New Roman" w:cs="Times New Roman"/>
          <w:sz w:val="24"/>
          <w:szCs w:val="24"/>
        </w:rPr>
        <w:t xml:space="preserve"> oleh Baderi et al. (2024) serta Helmisar Saifuddin dan Wiyono (2023), yang menemukan bahwa </w:t>
      </w:r>
      <w:r w:rsidRPr="004B27B7">
        <w:rPr>
          <w:rFonts w:ascii="Times New Roman" w:eastAsia="Times New Roman" w:hAnsi="Times New Roman" w:cs="Times New Roman"/>
          <w:i/>
          <w:iCs/>
          <w:sz w:val="24"/>
          <w:szCs w:val="24"/>
        </w:rPr>
        <w:t>green accounting</w:t>
      </w:r>
      <w:r w:rsidRPr="004B27B7">
        <w:rPr>
          <w:rFonts w:ascii="Times New Roman" w:eastAsia="Times New Roman" w:hAnsi="Times New Roman" w:cs="Times New Roman"/>
          <w:sz w:val="24"/>
          <w:szCs w:val="24"/>
        </w:rPr>
        <w:t xml:space="preserve"> tidak memberikan dampak langsung </w:t>
      </w:r>
      <w:r w:rsidRPr="00C63859">
        <w:rPr>
          <w:rFonts w:ascii="Times New Roman" w:eastAsia="Times New Roman" w:hAnsi="Times New Roman" w:cs="Times New Roman"/>
          <w:sz w:val="24"/>
          <w:szCs w:val="24"/>
        </w:rPr>
        <w:t>pada profitabilitas</w:t>
      </w:r>
      <w:r w:rsidRPr="004B27B7">
        <w:rPr>
          <w:rFonts w:ascii="Times New Roman" w:eastAsia="Times New Roman" w:hAnsi="Times New Roman" w:cs="Times New Roman"/>
          <w:i/>
          <w:iCs/>
          <w:sz w:val="24"/>
          <w:szCs w:val="24"/>
        </w:rPr>
        <w:t xml:space="preserve"> </w:t>
      </w:r>
      <w:r w:rsidRPr="004B27B7">
        <w:rPr>
          <w:rFonts w:ascii="Times New Roman" w:eastAsia="Times New Roman" w:hAnsi="Times New Roman" w:cs="Times New Roman"/>
          <w:sz w:val="24"/>
          <w:szCs w:val="24"/>
        </w:rPr>
        <w:t xml:space="preserve">perusahaan. </w:t>
      </w:r>
      <w:r w:rsidR="00C63859">
        <w:rPr>
          <w:rFonts w:ascii="Times New Roman" w:eastAsia="Times New Roman" w:hAnsi="Times New Roman" w:cs="Times New Roman"/>
          <w:sz w:val="24"/>
          <w:szCs w:val="24"/>
        </w:rPr>
        <w:t>Akan tetapi</w:t>
      </w:r>
      <w:r w:rsidRPr="004B27B7">
        <w:rPr>
          <w:rFonts w:ascii="Times New Roman" w:eastAsia="Times New Roman" w:hAnsi="Times New Roman" w:cs="Times New Roman"/>
          <w:sz w:val="24"/>
          <w:szCs w:val="24"/>
        </w:rPr>
        <w:t>, mereka mencatat bahwa</w:t>
      </w:r>
      <w:r w:rsidR="00C63859">
        <w:rPr>
          <w:rFonts w:ascii="Times New Roman" w:eastAsia="Times New Roman" w:hAnsi="Times New Roman" w:cs="Times New Roman"/>
          <w:sz w:val="24"/>
          <w:szCs w:val="24"/>
        </w:rPr>
        <w:t xml:space="preserve"> apabila</w:t>
      </w:r>
      <w:r w:rsidRPr="004B27B7">
        <w:rPr>
          <w:rFonts w:ascii="Times New Roman" w:eastAsia="Times New Roman" w:hAnsi="Times New Roman" w:cs="Times New Roman"/>
          <w:sz w:val="24"/>
          <w:szCs w:val="24"/>
        </w:rPr>
        <w:t xml:space="preserve"> dikelola dengan baik, biaya lingkungan dapat menjadi investasi strategis</w:t>
      </w:r>
      <w:r w:rsidR="00C63859">
        <w:rPr>
          <w:rFonts w:ascii="Times New Roman" w:eastAsia="Times New Roman" w:hAnsi="Times New Roman" w:cs="Times New Roman"/>
          <w:sz w:val="24"/>
          <w:szCs w:val="24"/>
        </w:rPr>
        <w:t xml:space="preserve"> yang</w:t>
      </w:r>
      <w:r w:rsidRPr="004B27B7">
        <w:rPr>
          <w:rFonts w:ascii="Times New Roman" w:eastAsia="Times New Roman" w:hAnsi="Times New Roman" w:cs="Times New Roman"/>
          <w:sz w:val="24"/>
          <w:szCs w:val="24"/>
        </w:rPr>
        <w:t xml:space="preserve"> jangka panjang</w:t>
      </w:r>
      <w:r w:rsidR="00177DFC">
        <w:rPr>
          <w:rFonts w:ascii="Times New Roman" w:eastAsia="Times New Roman" w:hAnsi="Times New Roman" w:cs="Times New Roman"/>
          <w:sz w:val="24"/>
          <w:szCs w:val="24"/>
        </w:rPr>
        <w:t xml:space="preserve"> </w:t>
      </w:r>
      <w:r w:rsidRPr="004B27B7">
        <w:rPr>
          <w:rFonts w:ascii="Times New Roman" w:eastAsia="Times New Roman" w:hAnsi="Times New Roman" w:cs="Times New Roman"/>
          <w:sz w:val="24"/>
          <w:szCs w:val="24"/>
        </w:rPr>
        <w:fldChar w:fldCharType="begin" w:fldLock="1"/>
      </w:r>
      <w:r w:rsidRPr="004B27B7">
        <w:rPr>
          <w:rFonts w:ascii="Times New Roman" w:eastAsia="Times New Roman" w:hAnsi="Times New Roman" w:cs="Times New Roman"/>
          <w:sz w:val="24"/>
          <w:szCs w:val="24"/>
        </w:rPr>
        <w:instrText>ADDIN CSL_CITATION {"citationItems":[{"id":"ITEM-1","itemData":{"author":[{"dropping-particle":"","family":"Kartika Wulandhari","given":"Nera Marinda Machdar","non-dropping-particle":"","parse-names":false,"suffix":""}],"id":"ITEM-1","issued":{"date-parts":[["2025"]]},"title":"Kontribusi Biaya Lingkungan , Green Accounting , CSR , dan Ukuran","type":"article-journal","volume":"3"},"uris":["http://www.mendeley.com/documents/?uuid=8f886ab8-edfd-49a8-bc1e-e0deee2ff1b7"]}],"mendeley":{"formattedCitation":"(Kartika Wulandhari, 2025)","plainTextFormattedCitation":"(Kartika Wulandhari, 2025)","previouslyFormattedCitation":"(Kartika Wulandhari, 2025)"},"properties":{"noteIndex":0},"schema":"https://github.com/citation-style-language/schema/raw/master/csl-citation.json"}</w:instrText>
      </w:r>
      <w:r w:rsidRPr="004B27B7">
        <w:rPr>
          <w:rFonts w:ascii="Times New Roman" w:eastAsia="Times New Roman" w:hAnsi="Times New Roman" w:cs="Times New Roman"/>
          <w:sz w:val="24"/>
          <w:szCs w:val="24"/>
        </w:rPr>
        <w:fldChar w:fldCharType="separate"/>
      </w:r>
      <w:r w:rsidRPr="004B27B7">
        <w:rPr>
          <w:rFonts w:ascii="Times New Roman" w:eastAsia="Times New Roman" w:hAnsi="Times New Roman" w:cs="Times New Roman"/>
          <w:noProof/>
          <w:sz w:val="24"/>
          <w:szCs w:val="24"/>
        </w:rPr>
        <w:t>(Kartika Wulandhari, 2025)</w:t>
      </w:r>
      <w:r w:rsidRPr="004B27B7">
        <w:rPr>
          <w:rFonts w:ascii="Times New Roman" w:eastAsia="Times New Roman" w:hAnsi="Times New Roman" w:cs="Times New Roman"/>
          <w:sz w:val="24"/>
          <w:szCs w:val="24"/>
        </w:rPr>
        <w:fldChar w:fldCharType="end"/>
      </w:r>
      <w:r w:rsidRPr="004B27B7">
        <w:rPr>
          <w:rFonts w:ascii="Times New Roman" w:eastAsia="Times New Roman" w:hAnsi="Times New Roman" w:cs="Times New Roman"/>
          <w:sz w:val="24"/>
          <w:szCs w:val="24"/>
        </w:rPr>
        <w:t>.</w:t>
      </w:r>
      <w:r w:rsidRPr="004B27B7">
        <w:rPr>
          <w:rFonts w:ascii="Times New Roman" w:hAnsi="Times New Roman" w:cs="Times New Roman"/>
          <w:sz w:val="24"/>
          <w:szCs w:val="24"/>
        </w:rPr>
        <w:t xml:space="preserve"> Penelitian  yang  dilakukan  oleh  Putri, Hiadayati dan Amin (2019), menunjukkan bahwa </w:t>
      </w:r>
      <w:r w:rsidRPr="004B27B7">
        <w:rPr>
          <w:rFonts w:ascii="Times New Roman" w:hAnsi="Times New Roman" w:cs="Times New Roman"/>
          <w:i/>
          <w:iCs/>
          <w:sz w:val="24"/>
          <w:szCs w:val="24"/>
        </w:rPr>
        <w:t>green  accounting</w:t>
      </w:r>
      <w:r w:rsidRPr="004B27B7">
        <w:rPr>
          <w:rFonts w:ascii="Times New Roman" w:hAnsi="Times New Roman" w:cs="Times New Roman"/>
          <w:sz w:val="24"/>
          <w:szCs w:val="24"/>
        </w:rPr>
        <w:t xml:space="preserve"> berpengaruh signifikan terhadap </w:t>
      </w:r>
      <w:r w:rsidRPr="00C63859">
        <w:rPr>
          <w:rFonts w:ascii="Times New Roman" w:hAnsi="Times New Roman" w:cs="Times New Roman"/>
          <w:sz w:val="24"/>
          <w:szCs w:val="24"/>
        </w:rPr>
        <w:t>profitabilitas</w:t>
      </w:r>
      <w:r w:rsidR="00177DFC">
        <w:rPr>
          <w:rFonts w:ascii="Times New Roman" w:hAnsi="Times New Roman" w:cs="Times New Roman"/>
          <w:sz w:val="24"/>
          <w:szCs w:val="24"/>
        </w:rPr>
        <w:t xml:space="preserve"> </w:t>
      </w:r>
      <w:r w:rsidRPr="00C63859">
        <w:rPr>
          <w:rFonts w:ascii="Times New Roman" w:hAnsi="Times New Roman" w:cs="Times New Roman"/>
          <w:sz w:val="24"/>
          <w:szCs w:val="24"/>
        </w:rPr>
        <w:fldChar w:fldCharType="begin" w:fldLock="1"/>
      </w:r>
      <w:r w:rsidRPr="00C63859">
        <w:rPr>
          <w:rFonts w:ascii="Times New Roman" w:hAnsi="Times New Roman" w:cs="Times New Roman"/>
          <w:sz w:val="24"/>
          <w:szCs w:val="24"/>
        </w:rPr>
        <w:instrText>ADDIN CSL_CITATION {"citationItems":[{"id":"ITEM-1","itemData":{"abstract":"… , nilai signifikansi variabel green accounting sebesar 0,480, tidak terdapat permasalahan heteroskedastisitas karena nilai sig green accounting lebih besar dari 0,05. Nilai signifikansi …","author":[{"dropping-particle":"","family":"Febrianti","given":"M M","non-dropping-particle":"","parse-names":false,"suffix":""}],"container-title":"FIN-ACC (Finance Accounting)","id":"ITEM-1","issue":"10","issued":{"date-parts":[["2023"]]},"page":"1565-1575","title":"Analisis Pengaruh Green Accounting, Corporate Social Responsibility, dan Firm Size terhadap Profitability","type":"article-journal","volume":"7"},"uris":["http://www.mendeley.com/documents/?uuid=3e64ead3-b879-4ffa-b701-295519945944"]}],"mendeley":{"formattedCitation":"(Febrianti, 2023)","plainTextFormattedCitation":"(Febrianti, 2023)","previouslyFormattedCitation":"(Febrianti, 2023)"},"properties":{"noteIndex":0},"schema":"https://github.com/citation-style-language/schema/raw/master/csl-citation.json"}</w:instrText>
      </w:r>
      <w:r w:rsidRPr="00C63859">
        <w:rPr>
          <w:rFonts w:ascii="Times New Roman" w:hAnsi="Times New Roman" w:cs="Times New Roman"/>
          <w:sz w:val="24"/>
          <w:szCs w:val="24"/>
        </w:rPr>
        <w:fldChar w:fldCharType="separate"/>
      </w:r>
      <w:r w:rsidRPr="00C63859">
        <w:rPr>
          <w:rFonts w:ascii="Times New Roman" w:hAnsi="Times New Roman" w:cs="Times New Roman"/>
          <w:noProof/>
          <w:sz w:val="24"/>
          <w:szCs w:val="24"/>
        </w:rPr>
        <w:t>(Febrianti, 2023)</w:t>
      </w:r>
      <w:r w:rsidRPr="00C63859">
        <w:rPr>
          <w:rFonts w:ascii="Times New Roman" w:hAnsi="Times New Roman" w:cs="Times New Roman"/>
          <w:sz w:val="24"/>
          <w:szCs w:val="24"/>
        </w:rPr>
        <w:fldChar w:fldCharType="end"/>
      </w:r>
      <w:r w:rsidRPr="004B27B7">
        <w:rPr>
          <w:rFonts w:ascii="Times New Roman" w:hAnsi="Times New Roman" w:cs="Times New Roman"/>
          <w:sz w:val="24"/>
          <w:szCs w:val="24"/>
        </w:rPr>
        <w:t xml:space="preserve">. </w:t>
      </w:r>
      <w:r w:rsidRPr="004B27B7">
        <w:rPr>
          <w:rFonts w:ascii="Times New Roman" w:eastAsia="Times New Roman" w:hAnsi="Times New Roman" w:cs="Times New Roman"/>
          <w:sz w:val="24"/>
          <w:szCs w:val="24"/>
        </w:rPr>
        <w:t xml:space="preserve">Penelitian ini </w:t>
      </w:r>
      <w:r w:rsidRPr="004B27B7">
        <w:rPr>
          <w:rFonts w:ascii="Times New Roman" w:eastAsia="Times New Roman" w:hAnsi="Times New Roman" w:cs="Times New Roman"/>
          <w:sz w:val="24"/>
          <w:szCs w:val="24"/>
        </w:rPr>
        <w:lastRenderedPageBreak/>
        <w:t xml:space="preserve">sejalan dilakukan oleh Wulandari et al. (2023) Biaya lingkungan berpengaruh signifikan terhadap </w:t>
      </w:r>
      <w:r w:rsidRPr="00177DFC">
        <w:rPr>
          <w:rFonts w:ascii="Times New Roman" w:eastAsia="Times New Roman" w:hAnsi="Times New Roman" w:cs="Times New Roman"/>
          <w:sz w:val="24"/>
          <w:szCs w:val="24"/>
        </w:rPr>
        <w:t>profitabilitas,</w:t>
      </w:r>
      <w:r w:rsidRPr="004B27B7">
        <w:rPr>
          <w:rFonts w:ascii="Times New Roman" w:eastAsia="Times New Roman" w:hAnsi="Times New Roman" w:cs="Times New Roman"/>
          <w:sz w:val="24"/>
          <w:szCs w:val="24"/>
        </w:rPr>
        <w:t xml:space="preserve"> menunjukkan bahwa peningkatan biaya pengelolaan lingkungan sejalan dengan peningkatan laba. Berdasarkan perkembangan teori dan penelitian terdahulu, maka dirumuskan hipotesis sebagai berikut.</w:t>
      </w:r>
    </w:p>
    <w:p w14:paraId="7CD13974" w14:textId="77777777" w:rsidR="008775EB" w:rsidRPr="00177DFC" w:rsidRDefault="00000000" w:rsidP="004B27B7">
      <w:pPr>
        <w:spacing w:line="360" w:lineRule="auto"/>
        <w:jc w:val="both"/>
        <w:rPr>
          <w:rFonts w:ascii="Times New Roman" w:eastAsia="Times New Roman" w:hAnsi="Times New Roman" w:cs="Times New Roman"/>
          <w:b/>
          <w:bCs/>
          <w:sz w:val="24"/>
          <w:szCs w:val="24"/>
        </w:rPr>
      </w:pPr>
      <w:r w:rsidRPr="004B27B7">
        <w:rPr>
          <w:rFonts w:ascii="Times New Roman" w:eastAsia="Times New Roman" w:hAnsi="Times New Roman" w:cs="Times New Roman"/>
          <w:sz w:val="24"/>
          <w:szCs w:val="24"/>
        </w:rPr>
        <w:t xml:space="preserve">H1: </w:t>
      </w:r>
      <w:r w:rsidRPr="004B27B7">
        <w:rPr>
          <w:rFonts w:ascii="Times New Roman" w:eastAsia="Times New Roman" w:hAnsi="Times New Roman" w:cs="Times New Roman"/>
          <w:i/>
          <w:iCs/>
          <w:sz w:val="24"/>
          <w:szCs w:val="24"/>
        </w:rPr>
        <w:t>Green accounting</w:t>
      </w:r>
      <w:r w:rsidRPr="004B27B7">
        <w:rPr>
          <w:rFonts w:ascii="Times New Roman" w:eastAsia="Times New Roman" w:hAnsi="Times New Roman" w:cs="Times New Roman"/>
          <w:sz w:val="24"/>
          <w:szCs w:val="24"/>
        </w:rPr>
        <w:t xml:space="preserve"> berpengaruh signifikan  terhadap </w:t>
      </w:r>
      <w:r w:rsidRPr="00177DFC">
        <w:rPr>
          <w:rFonts w:ascii="Times New Roman" w:eastAsia="Times New Roman" w:hAnsi="Times New Roman" w:cs="Times New Roman"/>
          <w:sz w:val="24"/>
          <w:szCs w:val="24"/>
        </w:rPr>
        <w:t>Profitabilitas.</w:t>
      </w:r>
    </w:p>
    <w:p w14:paraId="019604EA" w14:textId="77777777" w:rsidR="008775EB" w:rsidRPr="004B27B7" w:rsidRDefault="00000000" w:rsidP="004B27B7">
      <w:pPr>
        <w:spacing w:line="360" w:lineRule="auto"/>
        <w:rPr>
          <w:rFonts w:ascii="Times New Roman" w:eastAsia="Times New Roman" w:hAnsi="Times New Roman" w:cs="Times New Roman"/>
          <w:b/>
          <w:bCs/>
          <w:sz w:val="24"/>
          <w:szCs w:val="24"/>
        </w:rPr>
      </w:pPr>
      <w:r w:rsidRPr="004B27B7">
        <w:rPr>
          <w:rFonts w:ascii="Times New Roman" w:eastAsia="Times New Roman" w:hAnsi="Times New Roman" w:cs="Times New Roman"/>
          <w:b/>
          <w:bCs/>
          <w:sz w:val="24"/>
          <w:szCs w:val="24"/>
        </w:rPr>
        <w:t>METODE PENELITIAN</w:t>
      </w:r>
    </w:p>
    <w:p w14:paraId="09DFFD2C" w14:textId="28DF044D" w:rsidR="00177DFC" w:rsidRDefault="00000000" w:rsidP="00177DFC">
      <w:pPr>
        <w:spacing w:after="0" w:line="360" w:lineRule="auto"/>
        <w:ind w:firstLine="720"/>
        <w:jc w:val="both"/>
        <w:rPr>
          <w:rFonts w:ascii="Times New Roman" w:eastAsia="Cambria" w:hAnsi="Times New Roman" w:cs="Times New Roman"/>
          <w:color w:val="000000"/>
          <w:sz w:val="24"/>
          <w:szCs w:val="24"/>
          <w:lang w:eastAsia="zh-CN" w:bidi="ar"/>
        </w:rPr>
      </w:pPr>
      <w:r w:rsidRPr="004B27B7">
        <w:rPr>
          <w:rFonts w:ascii="Times New Roman" w:eastAsia="Times New Roman" w:hAnsi="Times New Roman" w:cs="Times New Roman"/>
          <w:sz w:val="24"/>
          <w:szCs w:val="24"/>
        </w:rPr>
        <w:t>Metode yang di</w:t>
      </w:r>
      <w:r w:rsidR="00C63859">
        <w:rPr>
          <w:rFonts w:ascii="Times New Roman" w:eastAsia="Times New Roman" w:hAnsi="Times New Roman" w:cs="Times New Roman"/>
          <w:sz w:val="24"/>
          <w:szCs w:val="24"/>
        </w:rPr>
        <w:t>pakai</w:t>
      </w:r>
      <w:r w:rsidRPr="004B27B7">
        <w:rPr>
          <w:rFonts w:ascii="Times New Roman" w:eastAsia="Times New Roman" w:hAnsi="Times New Roman" w:cs="Times New Roman"/>
          <w:sz w:val="24"/>
          <w:szCs w:val="24"/>
        </w:rPr>
        <w:t xml:space="preserve"> dalam penelitian ini </w:t>
      </w:r>
      <w:r w:rsidR="00C63859">
        <w:rPr>
          <w:rFonts w:ascii="Times New Roman" w:eastAsia="Times New Roman" w:hAnsi="Times New Roman" w:cs="Times New Roman"/>
          <w:sz w:val="24"/>
          <w:szCs w:val="24"/>
        </w:rPr>
        <w:t>ialah</w:t>
      </w:r>
      <w:r w:rsidRPr="004B27B7">
        <w:rPr>
          <w:rFonts w:ascii="Times New Roman" w:eastAsia="Times New Roman" w:hAnsi="Times New Roman" w:cs="Times New Roman"/>
          <w:sz w:val="24"/>
          <w:szCs w:val="24"/>
        </w:rPr>
        <w:t xml:space="preserve"> metode kuantitatif. </w:t>
      </w:r>
      <w:r w:rsidRPr="004B27B7">
        <w:rPr>
          <w:rFonts w:ascii="Times New Roman" w:eastAsia="Calisto MT" w:hAnsi="Times New Roman" w:cs="Times New Roman"/>
          <w:color w:val="000000"/>
          <w:sz w:val="24"/>
          <w:szCs w:val="24"/>
          <w:lang w:val="en-US" w:eastAsia="zh-CN" w:bidi="ar"/>
        </w:rPr>
        <w:t xml:space="preserve">Data yang </w:t>
      </w:r>
      <w:proofErr w:type="spellStart"/>
      <w:r w:rsidRPr="004B27B7">
        <w:rPr>
          <w:rFonts w:ascii="Times New Roman" w:eastAsia="Calisto MT" w:hAnsi="Times New Roman" w:cs="Times New Roman"/>
          <w:color w:val="000000"/>
          <w:sz w:val="24"/>
          <w:szCs w:val="24"/>
          <w:lang w:val="en-US" w:eastAsia="zh-CN" w:bidi="ar"/>
        </w:rPr>
        <w:t>digunakan</w:t>
      </w:r>
      <w:proofErr w:type="spellEnd"/>
      <w:r w:rsidRPr="004B27B7">
        <w:rPr>
          <w:rFonts w:ascii="Times New Roman" w:eastAsia="Calisto MT" w:hAnsi="Times New Roman" w:cs="Times New Roman"/>
          <w:color w:val="000000"/>
          <w:sz w:val="24"/>
          <w:szCs w:val="24"/>
          <w:lang w:eastAsia="zh-CN" w:bidi="ar"/>
        </w:rPr>
        <w:t xml:space="preserve"> </w:t>
      </w:r>
      <w:r w:rsidR="00C63859">
        <w:rPr>
          <w:rFonts w:ascii="Times New Roman" w:eastAsia="Calisto MT" w:hAnsi="Times New Roman" w:cs="Times New Roman"/>
          <w:color w:val="000000"/>
          <w:sz w:val="24"/>
          <w:szCs w:val="24"/>
          <w:lang w:eastAsia="zh-CN" w:bidi="ar"/>
        </w:rPr>
        <w:t>adalah</w:t>
      </w:r>
      <w:r w:rsidRPr="004B27B7">
        <w:rPr>
          <w:rFonts w:ascii="Times New Roman" w:eastAsia="Calisto MT" w:hAnsi="Times New Roman" w:cs="Times New Roman"/>
          <w:color w:val="000000"/>
          <w:sz w:val="24"/>
          <w:szCs w:val="24"/>
          <w:lang w:val="en-US" w:eastAsia="zh-CN" w:bidi="ar"/>
        </w:rPr>
        <w:t xml:space="preserve"> data </w:t>
      </w:r>
      <w:proofErr w:type="spellStart"/>
      <w:r w:rsidRPr="004B27B7">
        <w:rPr>
          <w:rFonts w:ascii="Times New Roman" w:eastAsia="Calisto MT" w:hAnsi="Times New Roman" w:cs="Times New Roman"/>
          <w:color w:val="000000"/>
          <w:sz w:val="24"/>
          <w:szCs w:val="24"/>
          <w:lang w:val="en-US" w:eastAsia="zh-CN" w:bidi="ar"/>
        </w:rPr>
        <w:t>sekunder</w:t>
      </w:r>
      <w:proofErr w:type="spellEnd"/>
      <w:r w:rsidRPr="004B27B7">
        <w:rPr>
          <w:rFonts w:ascii="Times New Roman" w:eastAsia="Calisto MT" w:hAnsi="Times New Roman" w:cs="Times New Roman"/>
          <w:color w:val="000000"/>
          <w:sz w:val="24"/>
          <w:szCs w:val="24"/>
          <w:lang w:val="en-US" w:eastAsia="zh-CN" w:bidi="ar"/>
        </w:rPr>
        <w:t xml:space="preserve">. </w:t>
      </w:r>
      <w:r w:rsidRPr="004B27B7">
        <w:rPr>
          <w:rFonts w:ascii="Times New Roman" w:eastAsia="Calisto MT" w:hAnsi="Times New Roman" w:cs="Times New Roman"/>
          <w:color w:val="000000"/>
          <w:sz w:val="24"/>
          <w:szCs w:val="24"/>
          <w:lang w:eastAsia="zh-CN" w:bidi="ar"/>
        </w:rPr>
        <w:t>Populasi yang digunakan dalam penelitian ini adalah perusahaan pertambangan yang terdaftar di Bursa Efek Indonesia</w:t>
      </w:r>
      <w:r w:rsidR="0055193F">
        <w:rPr>
          <w:rFonts w:ascii="Times New Roman" w:eastAsia="Calisto MT" w:hAnsi="Times New Roman" w:cs="Times New Roman"/>
          <w:color w:val="000000"/>
          <w:sz w:val="24"/>
          <w:szCs w:val="24"/>
          <w:lang w:eastAsia="zh-CN" w:bidi="ar"/>
        </w:rPr>
        <w:t xml:space="preserve"> pada</w:t>
      </w:r>
      <w:r w:rsidRPr="004B27B7">
        <w:rPr>
          <w:rFonts w:ascii="Times New Roman" w:eastAsia="Calisto MT" w:hAnsi="Times New Roman" w:cs="Times New Roman"/>
          <w:color w:val="000000"/>
          <w:sz w:val="24"/>
          <w:szCs w:val="24"/>
          <w:lang w:eastAsia="zh-CN" w:bidi="ar"/>
        </w:rPr>
        <w:t xml:space="preserve"> periode 2019-2023. Jumlah populasi pada sektor tersebut yaitu 150 perusahaan dengan jumlah sampel yang </w:t>
      </w:r>
      <w:r w:rsidR="0055193F">
        <w:rPr>
          <w:rFonts w:ascii="Times New Roman" w:eastAsia="Calisto MT" w:hAnsi="Times New Roman" w:cs="Times New Roman"/>
          <w:color w:val="000000"/>
          <w:sz w:val="24"/>
          <w:szCs w:val="24"/>
          <w:lang w:eastAsia="zh-CN" w:bidi="ar"/>
        </w:rPr>
        <w:t>sesuai untuk</w:t>
      </w:r>
      <w:r w:rsidRPr="004B27B7">
        <w:rPr>
          <w:rFonts w:ascii="Times New Roman" w:eastAsia="Calisto MT" w:hAnsi="Times New Roman" w:cs="Times New Roman"/>
          <w:color w:val="000000"/>
          <w:sz w:val="24"/>
          <w:szCs w:val="24"/>
          <w:lang w:eastAsia="zh-CN" w:bidi="ar"/>
        </w:rPr>
        <w:t xml:space="preserve"> penelitian ini sebanyak 20 perusahaan selama 5 tahun sehingga menghasilkan 100 data observasi.</w:t>
      </w:r>
      <w:r w:rsidRPr="004B27B7">
        <w:rPr>
          <w:rFonts w:ascii="Times New Roman" w:eastAsia="Cambria" w:hAnsi="Times New Roman" w:cs="Times New Roman"/>
          <w:color w:val="000000"/>
          <w:sz w:val="24"/>
          <w:szCs w:val="24"/>
          <w:lang w:eastAsia="zh-CN" w:bidi="ar"/>
        </w:rPr>
        <w:t xml:space="preserve"> Metode pengambilan sampel yang di</w:t>
      </w:r>
      <w:r w:rsidR="0055193F">
        <w:rPr>
          <w:rFonts w:ascii="Times New Roman" w:eastAsia="Cambria" w:hAnsi="Times New Roman" w:cs="Times New Roman"/>
          <w:color w:val="000000"/>
          <w:sz w:val="24"/>
          <w:szCs w:val="24"/>
          <w:lang w:eastAsia="zh-CN" w:bidi="ar"/>
        </w:rPr>
        <w:t>terapkan</w:t>
      </w:r>
      <w:r w:rsidRPr="004B27B7">
        <w:rPr>
          <w:rFonts w:ascii="Times New Roman" w:eastAsia="Cambria" w:hAnsi="Times New Roman" w:cs="Times New Roman"/>
          <w:color w:val="000000"/>
          <w:sz w:val="24"/>
          <w:szCs w:val="24"/>
          <w:lang w:eastAsia="zh-CN" w:bidi="ar"/>
        </w:rPr>
        <w:t xml:space="preserve"> dalam penelitian ini adalah </w:t>
      </w:r>
      <w:r w:rsidRPr="004B27B7">
        <w:rPr>
          <w:rFonts w:ascii="Times New Roman" w:eastAsia="Cambria" w:hAnsi="Times New Roman" w:cs="Times New Roman"/>
          <w:i/>
          <w:iCs/>
          <w:color w:val="000000"/>
          <w:sz w:val="24"/>
          <w:szCs w:val="24"/>
          <w:lang w:eastAsia="zh-CN" w:bidi="ar"/>
        </w:rPr>
        <w:t>purposive sampling</w:t>
      </w:r>
      <w:r w:rsidRPr="004B27B7">
        <w:rPr>
          <w:rFonts w:ascii="Times New Roman" w:eastAsia="Cambria" w:hAnsi="Times New Roman" w:cs="Times New Roman"/>
          <w:color w:val="000000"/>
          <w:sz w:val="24"/>
          <w:szCs w:val="24"/>
          <w:lang w:eastAsia="zh-CN" w:bidi="ar"/>
        </w:rPr>
        <w:t>, dengan kriteria sebagai berikut: 1).P</w:t>
      </w:r>
      <w:r w:rsidRPr="004B27B7">
        <w:rPr>
          <w:rFonts w:ascii="Times New Roman" w:eastAsia="Calisto MT" w:hAnsi="Times New Roman" w:cs="Times New Roman"/>
          <w:color w:val="000000"/>
          <w:sz w:val="24"/>
          <w:szCs w:val="24"/>
          <w:lang w:eastAsia="zh-CN" w:bidi="ar"/>
        </w:rPr>
        <w:t xml:space="preserve">erusahaan pertambangan yang terdaftar di Bursa Efek Indonesia periode 2019-2023, 2). Perusahaan yang tidak mempublikasikan laporan tahunan dan laporan berkelanjutan nya selama periode 2019-2023, dan 3).Perusahaan yang tidak mempublikasikan biaya lingkungannya selama periode 2019-2023. </w:t>
      </w:r>
      <w:r w:rsidRPr="004B27B7">
        <w:rPr>
          <w:rFonts w:ascii="Times New Roman" w:eastAsia="Cambria" w:hAnsi="Times New Roman" w:cs="Times New Roman"/>
          <w:color w:val="000000"/>
          <w:sz w:val="24"/>
          <w:szCs w:val="24"/>
          <w:lang w:eastAsia="zh-CN" w:bidi="ar"/>
        </w:rPr>
        <w:t>Metode penelitian yang digunakan adalah metode regresi linear sederhana karena variabelnya tidak lebih dari dua dengan persamaan Y = a + bX</w:t>
      </w:r>
      <w:r w:rsidR="00177DFC">
        <w:rPr>
          <w:rFonts w:ascii="Times New Roman" w:eastAsia="Cambria" w:hAnsi="Times New Roman" w:cs="Times New Roman"/>
          <w:color w:val="000000"/>
          <w:sz w:val="24"/>
          <w:szCs w:val="24"/>
          <w:lang w:eastAsia="zh-CN" w:bidi="ar"/>
        </w:rPr>
        <w:t xml:space="preserve">. </w:t>
      </w:r>
      <w:r w:rsidRPr="004B27B7">
        <w:rPr>
          <w:rFonts w:ascii="Times New Roman" w:eastAsia="Cambria" w:hAnsi="Times New Roman" w:cs="Times New Roman"/>
          <w:color w:val="000000"/>
          <w:sz w:val="24"/>
          <w:szCs w:val="24"/>
          <w:lang w:eastAsia="zh-CN" w:bidi="ar"/>
        </w:rPr>
        <w:t>Indikator yang di</w:t>
      </w:r>
      <w:r w:rsidR="0055193F">
        <w:rPr>
          <w:rFonts w:ascii="Times New Roman" w:eastAsia="Cambria" w:hAnsi="Times New Roman" w:cs="Times New Roman"/>
          <w:color w:val="000000"/>
          <w:sz w:val="24"/>
          <w:szCs w:val="24"/>
          <w:lang w:eastAsia="zh-CN" w:bidi="ar"/>
        </w:rPr>
        <w:t>pakai</w:t>
      </w:r>
      <w:r w:rsidRPr="004B27B7">
        <w:rPr>
          <w:rFonts w:ascii="Times New Roman" w:eastAsia="Cambria" w:hAnsi="Times New Roman" w:cs="Times New Roman"/>
          <w:color w:val="000000"/>
          <w:sz w:val="24"/>
          <w:szCs w:val="24"/>
          <w:lang w:eastAsia="zh-CN" w:bidi="ar"/>
        </w:rPr>
        <w:t xml:space="preserve"> </w:t>
      </w:r>
      <w:r w:rsidRPr="004B27B7">
        <w:rPr>
          <w:rFonts w:ascii="Times New Roman" w:eastAsia="Cambria" w:hAnsi="Times New Roman" w:cs="Times New Roman"/>
          <w:i/>
          <w:iCs/>
          <w:color w:val="000000"/>
          <w:sz w:val="24"/>
          <w:szCs w:val="24"/>
          <w:lang w:eastAsia="zh-CN" w:bidi="ar"/>
        </w:rPr>
        <w:t>green accounting</w:t>
      </w:r>
      <w:r w:rsidRPr="004B27B7">
        <w:rPr>
          <w:rFonts w:ascii="Times New Roman" w:eastAsia="Cambria" w:hAnsi="Times New Roman" w:cs="Times New Roman"/>
          <w:color w:val="000000"/>
          <w:sz w:val="24"/>
          <w:szCs w:val="24"/>
          <w:lang w:eastAsia="zh-CN" w:bidi="ar"/>
        </w:rPr>
        <w:t xml:space="preserve"> ialah indeks biaya lingkungan. Untuk pengolahan data, penarikan hasil, serta menganalisis hubungan antara variabel </w:t>
      </w:r>
      <w:r w:rsidRPr="004B27B7">
        <w:rPr>
          <w:rFonts w:ascii="Times New Roman" w:eastAsia="Cambria" w:hAnsi="Times New Roman" w:cs="Times New Roman"/>
          <w:i/>
          <w:iCs/>
          <w:color w:val="000000"/>
          <w:sz w:val="24"/>
          <w:szCs w:val="24"/>
          <w:lang w:eastAsia="zh-CN" w:bidi="ar"/>
        </w:rPr>
        <w:t>independen</w:t>
      </w:r>
      <w:r w:rsidRPr="004B27B7">
        <w:rPr>
          <w:rFonts w:ascii="Times New Roman" w:eastAsia="Cambria" w:hAnsi="Times New Roman" w:cs="Times New Roman"/>
          <w:color w:val="000000"/>
          <w:sz w:val="24"/>
          <w:szCs w:val="24"/>
          <w:lang w:eastAsia="zh-CN" w:bidi="ar"/>
        </w:rPr>
        <w:t xml:space="preserve"> dan variabel </w:t>
      </w:r>
      <w:r w:rsidRPr="004B27B7">
        <w:rPr>
          <w:rFonts w:ascii="Times New Roman" w:eastAsia="Cambria" w:hAnsi="Times New Roman" w:cs="Times New Roman"/>
          <w:i/>
          <w:iCs/>
          <w:color w:val="000000"/>
          <w:sz w:val="24"/>
          <w:szCs w:val="24"/>
          <w:lang w:eastAsia="zh-CN" w:bidi="ar"/>
        </w:rPr>
        <w:t>dependen</w:t>
      </w:r>
      <w:r w:rsidRPr="004B27B7">
        <w:rPr>
          <w:rFonts w:ascii="Times New Roman" w:eastAsia="Cambria" w:hAnsi="Times New Roman" w:cs="Times New Roman"/>
          <w:color w:val="000000"/>
          <w:sz w:val="24"/>
          <w:szCs w:val="24"/>
          <w:lang w:eastAsia="zh-CN" w:bidi="ar"/>
        </w:rPr>
        <w:t xml:space="preserve"> dalam penelitian ini menggunakan program SPSS versi 26.</w:t>
      </w:r>
    </w:p>
    <w:p w14:paraId="0EE9F7BD" w14:textId="3A527F07" w:rsidR="008775EB" w:rsidRPr="004B27B7" w:rsidRDefault="00000000" w:rsidP="00177DFC">
      <w:pPr>
        <w:spacing w:after="0" w:line="360" w:lineRule="auto"/>
        <w:ind w:firstLine="720"/>
        <w:jc w:val="both"/>
        <w:rPr>
          <w:rFonts w:ascii="Times New Roman" w:eastAsia="Cambria" w:hAnsi="Times New Roman" w:cs="Times New Roman"/>
          <w:color w:val="000000"/>
          <w:sz w:val="24"/>
          <w:szCs w:val="24"/>
          <w:lang w:eastAsia="zh-CN" w:bidi="ar"/>
        </w:rPr>
      </w:pPr>
      <w:r w:rsidRPr="004B27B7">
        <w:rPr>
          <w:rFonts w:ascii="Times New Roman" w:hAnsi="Times New Roman" w:cs="Times New Roman"/>
          <w:b/>
          <w:bCs/>
          <w:sz w:val="24"/>
          <w:szCs w:val="24"/>
        </w:rPr>
        <w:t>HASIL DAN PEMBAHASAN</w:t>
      </w:r>
    </w:p>
    <w:p w14:paraId="40D1D3DE" w14:textId="77777777" w:rsidR="008775EB" w:rsidRPr="004B27B7" w:rsidRDefault="00000000" w:rsidP="004B27B7">
      <w:pPr>
        <w:spacing w:line="360" w:lineRule="auto"/>
        <w:jc w:val="both"/>
        <w:rPr>
          <w:rFonts w:ascii="Times New Roman" w:hAnsi="Times New Roman" w:cs="Times New Roman"/>
          <w:sz w:val="24"/>
          <w:szCs w:val="24"/>
        </w:rPr>
      </w:pPr>
      <w:r w:rsidRPr="004B27B7">
        <w:rPr>
          <w:rFonts w:ascii="Times New Roman" w:hAnsi="Times New Roman" w:cs="Times New Roman"/>
          <w:b/>
          <w:bCs/>
          <w:sz w:val="24"/>
          <w:szCs w:val="24"/>
        </w:rPr>
        <w:t>Hasil Penelitian</w:t>
      </w:r>
    </w:p>
    <w:p w14:paraId="4CB9CD0E" w14:textId="77777777" w:rsidR="008775EB" w:rsidRPr="004B27B7" w:rsidRDefault="00000000" w:rsidP="004B27B7">
      <w:pPr>
        <w:spacing w:line="360" w:lineRule="auto"/>
        <w:jc w:val="center"/>
        <w:rPr>
          <w:rFonts w:ascii="Times New Roman" w:hAnsi="Times New Roman" w:cs="Times New Roman"/>
          <w:sz w:val="24"/>
          <w:szCs w:val="24"/>
        </w:rPr>
      </w:pPr>
      <w:r w:rsidRPr="004B27B7">
        <w:rPr>
          <w:rFonts w:ascii="Times New Roman" w:hAnsi="Times New Roman" w:cs="Times New Roman"/>
          <w:b/>
          <w:bCs/>
          <w:sz w:val="24"/>
          <w:szCs w:val="24"/>
        </w:rPr>
        <w:t>Tabel 4.1 Hasil Uji Statistik Deskriptif</w:t>
      </w:r>
    </w:p>
    <w:tbl>
      <w:tblPr>
        <w:tblW w:w="920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2275"/>
        <w:gridCol w:w="619"/>
        <w:gridCol w:w="1885"/>
        <w:gridCol w:w="1475"/>
        <w:gridCol w:w="1475"/>
        <w:gridCol w:w="1475"/>
      </w:tblGrid>
      <w:tr w:rsidR="008775EB" w:rsidRPr="004B27B7" w14:paraId="0588ABFB" w14:textId="77777777">
        <w:trPr>
          <w:cantSplit/>
        </w:trPr>
        <w:tc>
          <w:tcPr>
            <w:tcW w:w="9204" w:type="dxa"/>
            <w:gridSpan w:val="6"/>
            <w:tcBorders>
              <w:top w:val="nil"/>
              <w:left w:val="nil"/>
              <w:bottom w:val="nil"/>
              <w:right w:val="nil"/>
              <w:tl2br w:val="nil"/>
              <w:tr2bl w:val="nil"/>
            </w:tcBorders>
            <w:shd w:val="clear" w:color="auto" w:fill="FFFFFF"/>
            <w:vAlign w:val="center"/>
          </w:tcPr>
          <w:p w14:paraId="0EFC7106" w14:textId="77777777" w:rsidR="008775EB" w:rsidRPr="004B27B7" w:rsidRDefault="00000000" w:rsidP="005203B6">
            <w:pPr>
              <w:spacing w:line="240" w:lineRule="auto"/>
              <w:ind w:left="60" w:right="60"/>
              <w:jc w:val="center"/>
              <w:rPr>
                <w:rFonts w:ascii="Times New Roman" w:hAnsi="Times New Roman" w:cs="Times New Roman"/>
                <w:color w:val="010205"/>
              </w:rPr>
            </w:pPr>
            <w:r w:rsidRPr="004B27B7">
              <w:rPr>
                <w:rFonts w:ascii="Times New Roman" w:hAnsi="Times New Roman" w:cs="Times New Roman"/>
                <w:b/>
                <w:color w:val="010205"/>
              </w:rPr>
              <w:t>Descriptive Statistics</w:t>
            </w:r>
          </w:p>
        </w:tc>
      </w:tr>
      <w:tr w:rsidR="008775EB" w:rsidRPr="004B27B7" w14:paraId="06ECA6BB" w14:textId="77777777">
        <w:trPr>
          <w:cantSplit/>
        </w:trPr>
        <w:tc>
          <w:tcPr>
            <w:tcW w:w="2275" w:type="dxa"/>
            <w:tcBorders>
              <w:top w:val="nil"/>
              <w:left w:val="nil"/>
              <w:bottom w:val="single" w:sz="8" w:space="0" w:color="152935"/>
              <w:right w:val="nil"/>
              <w:tl2br w:val="nil"/>
              <w:tr2bl w:val="nil"/>
            </w:tcBorders>
            <w:shd w:val="clear" w:color="auto" w:fill="FFFFFF"/>
            <w:vAlign w:val="bottom"/>
          </w:tcPr>
          <w:p w14:paraId="673A6385" w14:textId="77777777" w:rsidR="008775EB" w:rsidRPr="004B27B7" w:rsidRDefault="008775EB" w:rsidP="005203B6">
            <w:pPr>
              <w:spacing w:line="240" w:lineRule="auto"/>
              <w:jc w:val="center"/>
              <w:rPr>
                <w:rFonts w:ascii="Times New Roman" w:hAnsi="Times New Roman" w:cs="Times New Roman"/>
              </w:rPr>
            </w:pPr>
          </w:p>
        </w:tc>
        <w:tc>
          <w:tcPr>
            <w:tcW w:w="619" w:type="dxa"/>
            <w:tcBorders>
              <w:top w:val="nil"/>
              <w:left w:val="nil"/>
              <w:bottom w:val="single" w:sz="8" w:space="0" w:color="152935"/>
              <w:right w:val="single" w:sz="8" w:space="0" w:color="E0E0E0"/>
              <w:tl2br w:val="nil"/>
              <w:tr2bl w:val="nil"/>
            </w:tcBorders>
            <w:shd w:val="clear" w:color="auto" w:fill="FFFFFF"/>
            <w:vAlign w:val="bottom"/>
          </w:tcPr>
          <w:p w14:paraId="4608CD04" w14:textId="77777777" w:rsidR="008775EB" w:rsidRPr="004B27B7" w:rsidRDefault="00000000" w:rsidP="005203B6">
            <w:pPr>
              <w:spacing w:line="240" w:lineRule="auto"/>
              <w:ind w:left="60" w:right="60"/>
              <w:jc w:val="center"/>
              <w:rPr>
                <w:rFonts w:ascii="Times New Roman" w:hAnsi="Times New Roman" w:cs="Times New Roman"/>
                <w:color w:val="264A60"/>
              </w:rPr>
            </w:pPr>
            <w:r w:rsidRPr="004B27B7">
              <w:rPr>
                <w:rFonts w:ascii="Times New Roman" w:hAnsi="Times New Roman" w:cs="Times New Roman"/>
                <w:color w:val="264A60"/>
              </w:rPr>
              <w:t>N</w:t>
            </w:r>
          </w:p>
        </w:tc>
        <w:tc>
          <w:tcPr>
            <w:tcW w:w="1885" w:type="dxa"/>
            <w:tcBorders>
              <w:top w:val="nil"/>
              <w:left w:val="single" w:sz="8" w:space="0" w:color="E0E0E0"/>
              <w:bottom w:val="single" w:sz="8" w:space="0" w:color="152935"/>
              <w:right w:val="single" w:sz="8" w:space="0" w:color="E0E0E0"/>
              <w:tl2br w:val="nil"/>
              <w:tr2bl w:val="nil"/>
            </w:tcBorders>
            <w:shd w:val="clear" w:color="auto" w:fill="FFFFFF"/>
            <w:vAlign w:val="bottom"/>
          </w:tcPr>
          <w:p w14:paraId="5AADFB47" w14:textId="77777777" w:rsidR="008775EB" w:rsidRPr="004B27B7" w:rsidRDefault="00000000" w:rsidP="005203B6">
            <w:pPr>
              <w:spacing w:line="240" w:lineRule="auto"/>
              <w:ind w:left="60" w:right="60"/>
              <w:jc w:val="center"/>
              <w:rPr>
                <w:rFonts w:ascii="Times New Roman" w:hAnsi="Times New Roman" w:cs="Times New Roman"/>
                <w:color w:val="264A60"/>
              </w:rPr>
            </w:pPr>
            <w:r w:rsidRPr="004B27B7">
              <w:rPr>
                <w:rFonts w:ascii="Times New Roman" w:hAnsi="Times New Roman" w:cs="Times New Roman"/>
                <w:color w:val="264A60"/>
              </w:rPr>
              <w:t>Minimum</w:t>
            </w:r>
          </w:p>
        </w:tc>
        <w:tc>
          <w:tcPr>
            <w:tcW w:w="1475" w:type="dxa"/>
            <w:tcBorders>
              <w:top w:val="nil"/>
              <w:left w:val="single" w:sz="8" w:space="0" w:color="E0E0E0"/>
              <w:bottom w:val="single" w:sz="8" w:space="0" w:color="152935"/>
              <w:right w:val="single" w:sz="8" w:space="0" w:color="E0E0E0"/>
              <w:tl2br w:val="nil"/>
              <w:tr2bl w:val="nil"/>
            </w:tcBorders>
            <w:shd w:val="clear" w:color="auto" w:fill="FFFFFF"/>
            <w:vAlign w:val="bottom"/>
          </w:tcPr>
          <w:p w14:paraId="5F8DB10D" w14:textId="77777777" w:rsidR="008775EB" w:rsidRPr="004B27B7" w:rsidRDefault="00000000" w:rsidP="005203B6">
            <w:pPr>
              <w:spacing w:line="240" w:lineRule="auto"/>
              <w:ind w:left="60" w:right="60"/>
              <w:jc w:val="center"/>
              <w:rPr>
                <w:rFonts w:ascii="Times New Roman" w:hAnsi="Times New Roman" w:cs="Times New Roman"/>
                <w:color w:val="264A60"/>
              </w:rPr>
            </w:pPr>
            <w:r w:rsidRPr="004B27B7">
              <w:rPr>
                <w:rFonts w:ascii="Times New Roman" w:hAnsi="Times New Roman" w:cs="Times New Roman"/>
                <w:color w:val="264A60"/>
              </w:rPr>
              <w:t>Maximum</w:t>
            </w:r>
          </w:p>
        </w:tc>
        <w:tc>
          <w:tcPr>
            <w:tcW w:w="1475" w:type="dxa"/>
            <w:tcBorders>
              <w:top w:val="nil"/>
              <w:left w:val="single" w:sz="8" w:space="0" w:color="E0E0E0"/>
              <w:bottom w:val="single" w:sz="8" w:space="0" w:color="152935"/>
              <w:right w:val="single" w:sz="8" w:space="0" w:color="E0E0E0"/>
              <w:tl2br w:val="nil"/>
              <w:tr2bl w:val="nil"/>
            </w:tcBorders>
            <w:shd w:val="clear" w:color="auto" w:fill="FFFFFF"/>
            <w:vAlign w:val="bottom"/>
          </w:tcPr>
          <w:p w14:paraId="59CE2CE4" w14:textId="77777777" w:rsidR="008775EB" w:rsidRPr="004B27B7" w:rsidRDefault="00000000" w:rsidP="005203B6">
            <w:pPr>
              <w:spacing w:line="240" w:lineRule="auto"/>
              <w:ind w:left="60" w:right="60"/>
              <w:jc w:val="center"/>
              <w:rPr>
                <w:rFonts w:ascii="Times New Roman" w:hAnsi="Times New Roman" w:cs="Times New Roman"/>
                <w:color w:val="264A60"/>
              </w:rPr>
            </w:pPr>
            <w:r w:rsidRPr="004B27B7">
              <w:rPr>
                <w:rFonts w:ascii="Times New Roman" w:hAnsi="Times New Roman" w:cs="Times New Roman"/>
                <w:color w:val="264A60"/>
              </w:rPr>
              <w:t>Mean</w:t>
            </w:r>
          </w:p>
        </w:tc>
        <w:tc>
          <w:tcPr>
            <w:tcW w:w="1475" w:type="dxa"/>
            <w:tcBorders>
              <w:top w:val="nil"/>
              <w:left w:val="single" w:sz="8" w:space="0" w:color="E0E0E0"/>
              <w:bottom w:val="single" w:sz="8" w:space="0" w:color="152935"/>
              <w:right w:val="nil"/>
              <w:tl2br w:val="nil"/>
              <w:tr2bl w:val="nil"/>
            </w:tcBorders>
            <w:shd w:val="clear" w:color="auto" w:fill="FFFFFF"/>
            <w:vAlign w:val="bottom"/>
          </w:tcPr>
          <w:p w14:paraId="559D199E" w14:textId="77777777" w:rsidR="008775EB" w:rsidRPr="004B27B7" w:rsidRDefault="00000000" w:rsidP="005203B6">
            <w:pPr>
              <w:spacing w:line="240" w:lineRule="auto"/>
              <w:ind w:left="60" w:right="60"/>
              <w:jc w:val="center"/>
              <w:rPr>
                <w:rFonts w:ascii="Times New Roman" w:hAnsi="Times New Roman" w:cs="Times New Roman"/>
                <w:color w:val="264A60"/>
              </w:rPr>
            </w:pPr>
            <w:r w:rsidRPr="004B27B7">
              <w:rPr>
                <w:rFonts w:ascii="Times New Roman" w:hAnsi="Times New Roman" w:cs="Times New Roman"/>
                <w:color w:val="264A60"/>
              </w:rPr>
              <w:t>Std. Deviation</w:t>
            </w:r>
          </w:p>
        </w:tc>
      </w:tr>
      <w:tr w:rsidR="008775EB" w:rsidRPr="004B27B7" w14:paraId="5FA82262" w14:textId="77777777">
        <w:trPr>
          <w:cantSplit/>
        </w:trPr>
        <w:tc>
          <w:tcPr>
            <w:tcW w:w="2275" w:type="dxa"/>
            <w:tcBorders>
              <w:top w:val="single" w:sz="8" w:space="0" w:color="152935"/>
              <w:left w:val="nil"/>
              <w:bottom w:val="single" w:sz="8" w:space="0" w:color="AEAEAE"/>
              <w:right w:val="nil"/>
              <w:tl2br w:val="nil"/>
              <w:tr2bl w:val="nil"/>
            </w:tcBorders>
            <w:shd w:val="clear" w:color="auto" w:fill="E0E0E0"/>
          </w:tcPr>
          <w:p w14:paraId="3FC50FBA" w14:textId="77777777" w:rsidR="008775EB" w:rsidRPr="004B27B7" w:rsidRDefault="00000000" w:rsidP="005203B6">
            <w:pPr>
              <w:spacing w:line="240" w:lineRule="auto"/>
              <w:ind w:left="60" w:right="60"/>
              <w:jc w:val="both"/>
              <w:rPr>
                <w:rFonts w:ascii="Times New Roman" w:hAnsi="Times New Roman" w:cs="Times New Roman"/>
                <w:color w:val="264A60"/>
              </w:rPr>
            </w:pPr>
            <w:r w:rsidRPr="004B27B7">
              <w:rPr>
                <w:rFonts w:ascii="Times New Roman" w:hAnsi="Times New Roman" w:cs="Times New Roman"/>
                <w:color w:val="264A60"/>
              </w:rPr>
              <w:t>Hasil Profitabilitas</w:t>
            </w:r>
          </w:p>
        </w:tc>
        <w:tc>
          <w:tcPr>
            <w:tcW w:w="619" w:type="dxa"/>
            <w:tcBorders>
              <w:top w:val="single" w:sz="8" w:space="0" w:color="152935"/>
              <w:left w:val="nil"/>
              <w:bottom w:val="single" w:sz="8" w:space="0" w:color="AEAEAE"/>
              <w:right w:val="single" w:sz="8" w:space="0" w:color="E0E0E0"/>
              <w:tl2br w:val="nil"/>
              <w:tr2bl w:val="nil"/>
            </w:tcBorders>
            <w:shd w:val="clear" w:color="auto" w:fill="FFFFFF"/>
          </w:tcPr>
          <w:p w14:paraId="05F92A77" w14:textId="77777777" w:rsidR="008775EB" w:rsidRPr="004B27B7" w:rsidRDefault="00000000" w:rsidP="005203B6">
            <w:pPr>
              <w:spacing w:line="240" w:lineRule="auto"/>
              <w:ind w:left="60" w:right="60"/>
              <w:jc w:val="right"/>
              <w:rPr>
                <w:rFonts w:ascii="Times New Roman" w:hAnsi="Times New Roman" w:cs="Times New Roman"/>
                <w:color w:val="010205"/>
              </w:rPr>
            </w:pPr>
            <w:r w:rsidRPr="004B27B7">
              <w:rPr>
                <w:rFonts w:ascii="Times New Roman" w:hAnsi="Times New Roman" w:cs="Times New Roman"/>
                <w:color w:val="010205"/>
              </w:rPr>
              <w:t>100</w:t>
            </w:r>
          </w:p>
        </w:tc>
        <w:tc>
          <w:tcPr>
            <w:tcW w:w="1885" w:type="dxa"/>
            <w:tcBorders>
              <w:top w:val="single" w:sz="8" w:space="0" w:color="152935"/>
              <w:left w:val="single" w:sz="8" w:space="0" w:color="E0E0E0"/>
              <w:bottom w:val="single" w:sz="8" w:space="0" w:color="AEAEAE"/>
              <w:right w:val="single" w:sz="8" w:space="0" w:color="E0E0E0"/>
              <w:tl2br w:val="nil"/>
              <w:tr2bl w:val="nil"/>
            </w:tcBorders>
            <w:shd w:val="clear" w:color="auto" w:fill="FFFFFF"/>
          </w:tcPr>
          <w:p w14:paraId="42DECD2E" w14:textId="77777777" w:rsidR="008775EB" w:rsidRPr="004B27B7" w:rsidRDefault="00000000" w:rsidP="005203B6">
            <w:pPr>
              <w:spacing w:line="240" w:lineRule="auto"/>
              <w:ind w:left="60" w:right="60"/>
              <w:jc w:val="right"/>
              <w:rPr>
                <w:rFonts w:ascii="Times New Roman" w:hAnsi="Times New Roman" w:cs="Times New Roman"/>
                <w:color w:val="010205"/>
              </w:rPr>
            </w:pPr>
            <w:r w:rsidRPr="004B27B7">
              <w:rPr>
                <w:rFonts w:ascii="Times New Roman" w:hAnsi="Times New Roman" w:cs="Times New Roman"/>
                <w:color w:val="010205"/>
              </w:rPr>
              <w:t>,0019383471</w:t>
            </w:r>
          </w:p>
        </w:tc>
        <w:tc>
          <w:tcPr>
            <w:tcW w:w="1475" w:type="dxa"/>
            <w:tcBorders>
              <w:top w:val="single" w:sz="8" w:space="0" w:color="152935"/>
              <w:left w:val="single" w:sz="8" w:space="0" w:color="E0E0E0"/>
              <w:bottom w:val="single" w:sz="8" w:space="0" w:color="AEAEAE"/>
              <w:right w:val="single" w:sz="8" w:space="0" w:color="E0E0E0"/>
              <w:tl2br w:val="nil"/>
              <w:tr2bl w:val="nil"/>
            </w:tcBorders>
            <w:shd w:val="clear" w:color="auto" w:fill="FFFFFF"/>
          </w:tcPr>
          <w:p w14:paraId="78722F28" w14:textId="77777777" w:rsidR="008775EB" w:rsidRPr="004B27B7" w:rsidRDefault="00000000" w:rsidP="005203B6">
            <w:pPr>
              <w:spacing w:line="240" w:lineRule="auto"/>
              <w:ind w:left="60" w:right="60"/>
              <w:jc w:val="right"/>
              <w:rPr>
                <w:rFonts w:ascii="Times New Roman" w:hAnsi="Times New Roman" w:cs="Times New Roman"/>
                <w:color w:val="010205"/>
              </w:rPr>
            </w:pPr>
            <w:r w:rsidRPr="004B27B7">
              <w:rPr>
                <w:rFonts w:ascii="Times New Roman" w:hAnsi="Times New Roman" w:cs="Times New Roman"/>
                <w:color w:val="010205"/>
              </w:rPr>
              <w:t>31,13154314</w:t>
            </w:r>
          </w:p>
        </w:tc>
        <w:tc>
          <w:tcPr>
            <w:tcW w:w="1475" w:type="dxa"/>
            <w:tcBorders>
              <w:top w:val="single" w:sz="8" w:space="0" w:color="152935"/>
              <w:left w:val="single" w:sz="8" w:space="0" w:color="E0E0E0"/>
              <w:bottom w:val="single" w:sz="8" w:space="0" w:color="AEAEAE"/>
              <w:right w:val="single" w:sz="8" w:space="0" w:color="E0E0E0"/>
              <w:tl2br w:val="nil"/>
              <w:tr2bl w:val="nil"/>
            </w:tcBorders>
            <w:shd w:val="clear" w:color="auto" w:fill="FFFFFF"/>
          </w:tcPr>
          <w:p w14:paraId="4F87FC61" w14:textId="77777777" w:rsidR="008775EB" w:rsidRPr="004B27B7" w:rsidRDefault="00000000" w:rsidP="005203B6">
            <w:pPr>
              <w:spacing w:line="240" w:lineRule="auto"/>
              <w:ind w:left="60" w:right="60"/>
              <w:jc w:val="right"/>
              <w:rPr>
                <w:rFonts w:ascii="Times New Roman" w:hAnsi="Times New Roman" w:cs="Times New Roman"/>
                <w:color w:val="010205"/>
              </w:rPr>
            </w:pPr>
            <w:r w:rsidRPr="004B27B7">
              <w:rPr>
                <w:rFonts w:ascii="Times New Roman" w:hAnsi="Times New Roman" w:cs="Times New Roman"/>
                <w:color w:val="010205"/>
              </w:rPr>
              <w:t>,5278177351</w:t>
            </w:r>
          </w:p>
        </w:tc>
        <w:tc>
          <w:tcPr>
            <w:tcW w:w="1475" w:type="dxa"/>
            <w:tcBorders>
              <w:top w:val="single" w:sz="8" w:space="0" w:color="152935"/>
              <w:left w:val="single" w:sz="8" w:space="0" w:color="E0E0E0"/>
              <w:bottom w:val="single" w:sz="8" w:space="0" w:color="AEAEAE"/>
              <w:right w:val="nil"/>
              <w:tl2br w:val="nil"/>
              <w:tr2bl w:val="nil"/>
            </w:tcBorders>
            <w:shd w:val="clear" w:color="auto" w:fill="FFFFFF"/>
          </w:tcPr>
          <w:p w14:paraId="2EE9EFFA" w14:textId="77777777" w:rsidR="008775EB" w:rsidRPr="004B27B7" w:rsidRDefault="00000000" w:rsidP="005203B6">
            <w:pPr>
              <w:spacing w:line="240" w:lineRule="auto"/>
              <w:ind w:left="60" w:right="60"/>
              <w:jc w:val="right"/>
              <w:rPr>
                <w:rFonts w:ascii="Times New Roman" w:hAnsi="Times New Roman" w:cs="Times New Roman"/>
                <w:color w:val="010205"/>
              </w:rPr>
            </w:pPr>
            <w:r w:rsidRPr="004B27B7">
              <w:rPr>
                <w:rFonts w:ascii="Times New Roman" w:hAnsi="Times New Roman" w:cs="Times New Roman"/>
                <w:color w:val="010205"/>
              </w:rPr>
              <w:t>3,138572208</w:t>
            </w:r>
          </w:p>
        </w:tc>
      </w:tr>
      <w:tr w:rsidR="008775EB" w:rsidRPr="004B27B7" w14:paraId="7F31C593" w14:textId="77777777">
        <w:trPr>
          <w:cantSplit/>
        </w:trPr>
        <w:tc>
          <w:tcPr>
            <w:tcW w:w="2275" w:type="dxa"/>
            <w:tcBorders>
              <w:top w:val="single" w:sz="8" w:space="0" w:color="AEAEAE"/>
              <w:left w:val="nil"/>
              <w:bottom w:val="single" w:sz="8" w:space="0" w:color="AEAEAE"/>
              <w:right w:val="nil"/>
              <w:tl2br w:val="nil"/>
              <w:tr2bl w:val="nil"/>
            </w:tcBorders>
            <w:shd w:val="clear" w:color="auto" w:fill="E0E0E0"/>
          </w:tcPr>
          <w:p w14:paraId="503BFE44" w14:textId="77777777" w:rsidR="008775EB" w:rsidRPr="004B27B7" w:rsidRDefault="00000000" w:rsidP="005203B6">
            <w:pPr>
              <w:spacing w:line="240" w:lineRule="auto"/>
              <w:ind w:left="60" w:right="60"/>
              <w:jc w:val="both"/>
              <w:rPr>
                <w:rFonts w:ascii="Times New Roman" w:hAnsi="Times New Roman" w:cs="Times New Roman"/>
                <w:color w:val="264A60"/>
              </w:rPr>
            </w:pPr>
            <w:r w:rsidRPr="004B27B7">
              <w:rPr>
                <w:rFonts w:ascii="Times New Roman" w:hAnsi="Times New Roman" w:cs="Times New Roman"/>
                <w:color w:val="264A60"/>
              </w:rPr>
              <w:t>Hasil Green Accounting</w:t>
            </w:r>
          </w:p>
        </w:tc>
        <w:tc>
          <w:tcPr>
            <w:tcW w:w="619" w:type="dxa"/>
            <w:tcBorders>
              <w:top w:val="single" w:sz="8" w:space="0" w:color="AEAEAE"/>
              <w:left w:val="nil"/>
              <w:bottom w:val="single" w:sz="8" w:space="0" w:color="AEAEAE"/>
              <w:right w:val="single" w:sz="8" w:space="0" w:color="E0E0E0"/>
              <w:tl2br w:val="nil"/>
              <w:tr2bl w:val="nil"/>
            </w:tcBorders>
            <w:shd w:val="clear" w:color="auto" w:fill="FFFFFF"/>
          </w:tcPr>
          <w:p w14:paraId="2896496D" w14:textId="77777777" w:rsidR="008775EB" w:rsidRPr="004B27B7" w:rsidRDefault="00000000" w:rsidP="005203B6">
            <w:pPr>
              <w:spacing w:line="240" w:lineRule="auto"/>
              <w:ind w:left="60" w:right="60"/>
              <w:jc w:val="right"/>
              <w:rPr>
                <w:rFonts w:ascii="Times New Roman" w:hAnsi="Times New Roman" w:cs="Times New Roman"/>
                <w:color w:val="010205"/>
              </w:rPr>
            </w:pPr>
            <w:r w:rsidRPr="004B27B7">
              <w:rPr>
                <w:rFonts w:ascii="Times New Roman" w:hAnsi="Times New Roman" w:cs="Times New Roman"/>
                <w:color w:val="010205"/>
              </w:rPr>
              <w:t>100</w:t>
            </w:r>
          </w:p>
        </w:tc>
        <w:tc>
          <w:tcPr>
            <w:tcW w:w="1885" w:type="dxa"/>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288BA275" w14:textId="77777777" w:rsidR="008775EB" w:rsidRPr="004B27B7" w:rsidRDefault="00000000" w:rsidP="005203B6">
            <w:pPr>
              <w:spacing w:line="240" w:lineRule="auto"/>
              <w:ind w:left="60" w:right="60"/>
              <w:jc w:val="right"/>
              <w:rPr>
                <w:rFonts w:ascii="Times New Roman" w:hAnsi="Times New Roman" w:cs="Times New Roman"/>
                <w:color w:val="010205"/>
              </w:rPr>
            </w:pPr>
            <w:r w:rsidRPr="004B27B7">
              <w:rPr>
                <w:rFonts w:ascii="Times New Roman" w:hAnsi="Times New Roman" w:cs="Times New Roman"/>
                <w:color w:val="010205"/>
              </w:rPr>
              <w:t>-1070,44763</w:t>
            </w:r>
          </w:p>
        </w:tc>
        <w:tc>
          <w:tcPr>
            <w:tcW w:w="1475" w:type="dxa"/>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0FE41D67" w14:textId="77777777" w:rsidR="008775EB" w:rsidRPr="004B27B7" w:rsidRDefault="00000000" w:rsidP="005203B6">
            <w:pPr>
              <w:spacing w:line="240" w:lineRule="auto"/>
              <w:ind w:left="60" w:right="60"/>
              <w:jc w:val="right"/>
              <w:rPr>
                <w:rFonts w:ascii="Times New Roman" w:hAnsi="Times New Roman" w:cs="Times New Roman"/>
                <w:color w:val="010205"/>
              </w:rPr>
            </w:pPr>
            <w:r w:rsidRPr="004B27B7">
              <w:rPr>
                <w:rFonts w:ascii="Times New Roman" w:hAnsi="Times New Roman" w:cs="Times New Roman"/>
                <w:color w:val="010205"/>
              </w:rPr>
              <w:t>,9990340697</w:t>
            </w:r>
          </w:p>
        </w:tc>
        <w:tc>
          <w:tcPr>
            <w:tcW w:w="1475" w:type="dxa"/>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3D48A30D" w14:textId="77777777" w:rsidR="008775EB" w:rsidRPr="004B27B7" w:rsidRDefault="00000000" w:rsidP="005203B6">
            <w:pPr>
              <w:spacing w:line="240" w:lineRule="auto"/>
              <w:ind w:left="60" w:right="60"/>
              <w:jc w:val="right"/>
              <w:rPr>
                <w:rFonts w:ascii="Times New Roman" w:hAnsi="Times New Roman" w:cs="Times New Roman"/>
                <w:color w:val="010205"/>
              </w:rPr>
            </w:pPr>
            <w:r w:rsidRPr="004B27B7">
              <w:rPr>
                <w:rFonts w:ascii="Times New Roman" w:hAnsi="Times New Roman" w:cs="Times New Roman"/>
                <w:color w:val="010205"/>
              </w:rPr>
              <w:t>-31,0938517</w:t>
            </w:r>
          </w:p>
        </w:tc>
        <w:tc>
          <w:tcPr>
            <w:tcW w:w="1475" w:type="dxa"/>
            <w:tcBorders>
              <w:top w:val="single" w:sz="8" w:space="0" w:color="AEAEAE"/>
              <w:left w:val="single" w:sz="8" w:space="0" w:color="E0E0E0"/>
              <w:bottom w:val="single" w:sz="8" w:space="0" w:color="AEAEAE"/>
              <w:right w:val="nil"/>
              <w:tl2br w:val="nil"/>
              <w:tr2bl w:val="nil"/>
            </w:tcBorders>
            <w:shd w:val="clear" w:color="auto" w:fill="FFFFFF"/>
          </w:tcPr>
          <w:p w14:paraId="26A41120" w14:textId="77777777" w:rsidR="008775EB" w:rsidRPr="004B27B7" w:rsidRDefault="00000000" w:rsidP="005203B6">
            <w:pPr>
              <w:spacing w:line="240" w:lineRule="auto"/>
              <w:ind w:left="60" w:right="60"/>
              <w:jc w:val="right"/>
              <w:rPr>
                <w:rFonts w:ascii="Times New Roman" w:hAnsi="Times New Roman" w:cs="Times New Roman"/>
                <w:color w:val="010205"/>
              </w:rPr>
            </w:pPr>
            <w:r w:rsidRPr="004B27B7">
              <w:rPr>
                <w:rFonts w:ascii="Times New Roman" w:hAnsi="Times New Roman" w:cs="Times New Roman"/>
                <w:color w:val="010205"/>
              </w:rPr>
              <w:t>119,6655737</w:t>
            </w:r>
          </w:p>
        </w:tc>
      </w:tr>
      <w:tr w:rsidR="008775EB" w:rsidRPr="004B27B7" w14:paraId="15BD8136" w14:textId="77777777">
        <w:trPr>
          <w:cantSplit/>
        </w:trPr>
        <w:tc>
          <w:tcPr>
            <w:tcW w:w="2275" w:type="dxa"/>
            <w:tcBorders>
              <w:top w:val="single" w:sz="8" w:space="0" w:color="AEAEAE"/>
              <w:left w:val="nil"/>
              <w:bottom w:val="single" w:sz="8" w:space="0" w:color="152935"/>
              <w:right w:val="nil"/>
              <w:tl2br w:val="nil"/>
              <w:tr2bl w:val="nil"/>
            </w:tcBorders>
            <w:shd w:val="clear" w:color="auto" w:fill="E0E0E0"/>
          </w:tcPr>
          <w:p w14:paraId="33758726" w14:textId="77777777" w:rsidR="008775EB" w:rsidRPr="004B27B7" w:rsidRDefault="00000000" w:rsidP="005203B6">
            <w:pPr>
              <w:spacing w:line="240" w:lineRule="auto"/>
              <w:ind w:left="60" w:right="60"/>
              <w:jc w:val="both"/>
              <w:rPr>
                <w:rFonts w:ascii="Times New Roman" w:hAnsi="Times New Roman" w:cs="Times New Roman"/>
                <w:color w:val="264A60"/>
              </w:rPr>
            </w:pPr>
            <w:r w:rsidRPr="004B27B7">
              <w:rPr>
                <w:rFonts w:ascii="Times New Roman" w:hAnsi="Times New Roman" w:cs="Times New Roman"/>
                <w:color w:val="264A60"/>
              </w:rPr>
              <w:t>Valid N (listwise)</w:t>
            </w:r>
          </w:p>
        </w:tc>
        <w:tc>
          <w:tcPr>
            <w:tcW w:w="619" w:type="dxa"/>
            <w:tcBorders>
              <w:top w:val="single" w:sz="8" w:space="0" w:color="AEAEAE"/>
              <w:left w:val="nil"/>
              <w:bottom w:val="single" w:sz="8" w:space="0" w:color="152935"/>
              <w:right w:val="single" w:sz="8" w:space="0" w:color="E0E0E0"/>
              <w:tl2br w:val="nil"/>
              <w:tr2bl w:val="nil"/>
            </w:tcBorders>
            <w:shd w:val="clear" w:color="auto" w:fill="FFFFFF"/>
          </w:tcPr>
          <w:p w14:paraId="3ECE8243" w14:textId="77777777" w:rsidR="008775EB" w:rsidRPr="004B27B7" w:rsidRDefault="00000000" w:rsidP="005203B6">
            <w:pPr>
              <w:spacing w:line="240" w:lineRule="auto"/>
              <w:ind w:left="60" w:right="60"/>
              <w:jc w:val="right"/>
              <w:rPr>
                <w:rFonts w:ascii="Times New Roman" w:hAnsi="Times New Roman" w:cs="Times New Roman"/>
                <w:color w:val="010205"/>
              </w:rPr>
            </w:pPr>
            <w:r w:rsidRPr="004B27B7">
              <w:rPr>
                <w:rFonts w:ascii="Times New Roman" w:hAnsi="Times New Roman" w:cs="Times New Roman"/>
                <w:color w:val="010205"/>
              </w:rPr>
              <w:t>100</w:t>
            </w:r>
          </w:p>
        </w:tc>
        <w:tc>
          <w:tcPr>
            <w:tcW w:w="1885" w:type="dxa"/>
            <w:tcBorders>
              <w:top w:val="single" w:sz="8" w:space="0" w:color="AEAEAE"/>
              <w:left w:val="single" w:sz="8" w:space="0" w:color="E0E0E0"/>
              <w:bottom w:val="single" w:sz="8" w:space="0" w:color="152935"/>
              <w:right w:val="single" w:sz="8" w:space="0" w:color="E0E0E0"/>
              <w:tl2br w:val="nil"/>
              <w:tr2bl w:val="nil"/>
            </w:tcBorders>
            <w:shd w:val="clear" w:color="auto" w:fill="FFFFFF"/>
            <w:vAlign w:val="center"/>
          </w:tcPr>
          <w:p w14:paraId="13682CCB" w14:textId="77777777" w:rsidR="008775EB" w:rsidRPr="004B27B7" w:rsidRDefault="008775EB" w:rsidP="005203B6">
            <w:pPr>
              <w:spacing w:line="240" w:lineRule="auto"/>
              <w:jc w:val="right"/>
              <w:rPr>
                <w:rFonts w:ascii="Times New Roman" w:hAnsi="Times New Roman" w:cs="Times New Roman"/>
              </w:rPr>
            </w:pPr>
          </w:p>
        </w:tc>
        <w:tc>
          <w:tcPr>
            <w:tcW w:w="1475" w:type="dxa"/>
            <w:tcBorders>
              <w:top w:val="single" w:sz="8" w:space="0" w:color="AEAEAE"/>
              <w:left w:val="single" w:sz="8" w:space="0" w:color="E0E0E0"/>
              <w:bottom w:val="single" w:sz="8" w:space="0" w:color="152935"/>
              <w:right w:val="single" w:sz="8" w:space="0" w:color="E0E0E0"/>
              <w:tl2br w:val="nil"/>
              <w:tr2bl w:val="nil"/>
            </w:tcBorders>
            <w:shd w:val="clear" w:color="auto" w:fill="FFFFFF"/>
            <w:vAlign w:val="center"/>
          </w:tcPr>
          <w:p w14:paraId="1E8B232B" w14:textId="77777777" w:rsidR="008775EB" w:rsidRPr="004B27B7" w:rsidRDefault="008775EB" w:rsidP="005203B6">
            <w:pPr>
              <w:spacing w:line="240" w:lineRule="auto"/>
              <w:jc w:val="right"/>
              <w:rPr>
                <w:rFonts w:ascii="Times New Roman" w:hAnsi="Times New Roman" w:cs="Times New Roman"/>
              </w:rPr>
            </w:pPr>
          </w:p>
        </w:tc>
        <w:tc>
          <w:tcPr>
            <w:tcW w:w="1475" w:type="dxa"/>
            <w:tcBorders>
              <w:top w:val="single" w:sz="8" w:space="0" w:color="AEAEAE"/>
              <w:left w:val="single" w:sz="8" w:space="0" w:color="E0E0E0"/>
              <w:bottom w:val="single" w:sz="8" w:space="0" w:color="152935"/>
              <w:right w:val="single" w:sz="8" w:space="0" w:color="E0E0E0"/>
              <w:tl2br w:val="nil"/>
              <w:tr2bl w:val="nil"/>
            </w:tcBorders>
            <w:shd w:val="clear" w:color="auto" w:fill="FFFFFF"/>
            <w:vAlign w:val="center"/>
          </w:tcPr>
          <w:p w14:paraId="5AD0DDAB" w14:textId="77777777" w:rsidR="008775EB" w:rsidRPr="004B27B7" w:rsidRDefault="008775EB" w:rsidP="005203B6">
            <w:pPr>
              <w:spacing w:line="240" w:lineRule="auto"/>
              <w:jc w:val="right"/>
              <w:rPr>
                <w:rFonts w:ascii="Times New Roman" w:hAnsi="Times New Roman" w:cs="Times New Roman"/>
              </w:rPr>
            </w:pPr>
          </w:p>
        </w:tc>
        <w:tc>
          <w:tcPr>
            <w:tcW w:w="1475" w:type="dxa"/>
            <w:tcBorders>
              <w:top w:val="single" w:sz="8" w:space="0" w:color="AEAEAE"/>
              <w:left w:val="single" w:sz="8" w:space="0" w:color="E0E0E0"/>
              <w:bottom w:val="single" w:sz="8" w:space="0" w:color="152935"/>
              <w:right w:val="nil"/>
              <w:tl2br w:val="nil"/>
              <w:tr2bl w:val="nil"/>
            </w:tcBorders>
            <w:shd w:val="clear" w:color="auto" w:fill="FFFFFF"/>
            <w:vAlign w:val="center"/>
          </w:tcPr>
          <w:p w14:paraId="19D4DA0A" w14:textId="77777777" w:rsidR="008775EB" w:rsidRPr="004B27B7" w:rsidRDefault="008775EB" w:rsidP="005203B6">
            <w:pPr>
              <w:spacing w:line="240" w:lineRule="auto"/>
              <w:jc w:val="right"/>
              <w:rPr>
                <w:rFonts w:ascii="Times New Roman" w:hAnsi="Times New Roman" w:cs="Times New Roman"/>
              </w:rPr>
            </w:pPr>
          </w:p>
        </w:tc>
      </w:tr>
    </w:tbl>
    <w:p w14:paraId="2212A459" w14:textId="77777777" w:rsidR="008775EB" w:rsidRPr="004B27B7" w:rsidRDefault="00000000" w:rsidP="004B27B7">
      <w:pPr>
        <w:spacing w:line="360" w:lineRule="auto"/>
        <w:jc w:val="both"/>
        <w:rPr>
          <w:rFonts w:ascii="Times New Roman" w:hAnsi="Times New Roman" w:cs="Times New Roman"/>
          <w:i/>
          <w:iCs/>
          <w:sz w:val="24"/>
          <w:szCs w:val="24"/>
        </w:rPr>
      </w:pPr>
      <w:r w:rsidRPr="004B27B7">
        <w:rPr>
          <w:rFonts w:ascii="Times New Roman" w:hAnsi="Times New Roman" w:cs="Times New Roman"/>
          <w:i/>
          <w:iCs/>
          <w:sz w:val="24"/>
          <w:szCs w:val="24"/>
        </w:rPr>
        <w:t>Sumber: Output SPSS 26, Data sekunder telah diolah</w:t>
      </w:r>
    </w:p>
    <w:p w14:paraId="1ABD99EF" w14:textId="79903046" w:rsidR="008775EB" w:rsidRPr="004B27B7" w:rsidRDefault="00000000" w:rsidP="004B27B7">
      <w:pPr>
        <w:spacing w:line="360" w:lineRule="auto"/>
        <w:ind w:firstLine="720"/>
        <w:jc w:val="both"/>
        <w:rPr>
          <w:rFonts w:ascii="Times New Roman" w:hAnsi="Times New Roman" w:cs="Times New Roman"/>
          <w:sz w:val="24"/>
          <w:szCs w:val="24"/>
        </w:rPr>
      </w:pPr>
      <w:r w:rsidRPr="004B27B7">
        <w:rPr>
          <w:rFonts w:ascii="Times New Roman" w:hAnsi="Times New Roman" w:cs="Times New Roman"/>
          <w:sz w:val="24"/>
          <w:szCs w:val="24"/>
        </w:rPr>
        <w:lastRenderedPageBreak/>
        <w:t xml:space="preserve">Hasil Uji Statistik Deskriptif </w:t>
      </w:r>
      <w:r w:rsidR="0055193F">
        <w:rPr>
          <w:rFonts w:ascii="Times New Roman" w:hAnsi="Times New Roman" w:cs="Times New Roman"/>
          <w:sz w:val="24"/>
          <w:szCs w:val="24"/>
        </w:rPr>
        <w:t>menunjukan bahwa</w:t>
      </w:r>
      <w:r w:rsidRPr="004B27B7">
        <w:rPr>
          <w:rFonts w:ascii="Times New Roman" w:hAnsi="Times New Roman" w:cs="Times New Roman"/>
          <w:sz w:val="24"/>
          <w:szCs w:val="24"/>
        </w:rPr>
        <w:t xml:space="preserve"> distribusi data yang di</w:t>
      </w:r>
      <w:r w:rsidR="0055193F">
        <w:rPr>
          <w:rFonts w:ascii="Times New Roman" w:hAnsi="Times New Roman" w:cs="Times New Roman"/>
          <w:sz w:val="24"/>
          <w:szCs w:val="24"/>
        </w:rPr>
        <w:t xml:space="preserve">peroleh </w:t>
      </w:r>
      <w:r w:rsidRPr="004B27B7">
        <w:rPr>
          <w:rFonts w:ascii="Times New Roman" w:hAnsi="Times New Roman" w:cs="Times New Roman"/>
          <w:sz w:val="24"/>
          <w:szCs w:val="24"/>
        </w:rPr>
        <w:t>peneliti adalah</w:t>
      </w:r>
      <w:r w:rsidR="004B27B7">
        <w:rPr>
          <w:rFonts w:ascii="Times New Roman" w:hAnsi="Times New Roman" w:cs="Times New Roman"/>
          <w:sz w:val="24"/>
          <w:szCs w:val="24"/>
        </w:rPr>
        <w:t xml:space="preserve"> </w:t>
      </w:r>
      <w:r w:rsidRPr="0055193F">
        <w:rPr>
          <w:rStyle w:val="Strong"/>
          <w:rFonts w:ascii="Times New Roman" w:eastAsia="SimSun" w:hAnsi="Times New Roman" w:cs="Times New Roman"/>
          <w:b w:val="0"/>
          <w:bCs w:val="0"/>
          <w:sz w:val="24"/>
          <w:szCs w:val="24"/>
        </w:rPr>
        <w:t>Profitabilitas</w:t>
      </w:r>
      <w:r w:rsidRPr="0055193F">
        <w:rPr>
          <w:rFonts w:ascii="Times New Roman" w:eastAsia="SimSun" w:hAnsi="Times New Roman" w:cs="Times New Roman"/>
          <w:sz w:val="24"/>
          <w:szCs w:val="24"/>
        </w:rPr>
        <w:t xml:space="preserve"> </w:t>
      </w:r>
      <w:r w:rsidRPr="004B27B7">
        <w:rPr>
          <w:rFonts w:ascii="Times New Roman" w:eastAsia="SimSun" w:hAnsi="Times New Roman" w:cs="Times New Roman"/>
          <w:sz w:val="24"/>
          <w:szCs w:val="24"/>
        </w:rPr>
        <w:t xml:space="preserve">memiliki nilai minimum sebesar 0,0019 dan maksimum sebesar 31,13, dengan rata-rata sebesar 0,528 dan standar deviasi sebesar 3,139. Nilai rata-rata yang relatif </w:t>
      </w:r>
      <w:r w:rsidR="0055193F">
        <w:rPr>
          <w:rFonts w:ascii="Times New Roman" w:eastAsia="SimSun" w:hAnsi="Times New Roman" w:cs="Times New Roman"/>
          <w:sz w:val="24"/>
          <w:szCs w:val="24"/>
        </w:rPr>
        <w:t>kecil</w:t>
      </w:r>
      <w:r w:rsidRPr="004B27B7">
        <w:rPr>
          <w:rFonts w:ascii="Times New Roman" w:eastAsia="SimSun" w:hAnsi="Times New Roman" w:cs="Times New Roman"/>
          <w:sz w:val="24"/>
          <w:szCs w:val="24"/>
        </w:rPr>
        <w:t xml:space="preserve"> menunjukkan bahwa </w:t>
      </w:r>
      <w:r w:rsidR="0055193F">
        <w:rPr>
          <w:rFonts w:ascii="Times New Roman" w:eastAsia="SimSun" w:hAnsi="Times New Roman" w:cs="Times New Roman"/>
          <w:sz w:val="24"/>
          <w:szCs w:val="24"/>
        </w:rPr>
        <w:t>mayoritas</w:t>
      </w:r>
      <w:r w:rsidRPr="004B27B7">
        <w:rPr>
          <w:rFonts w:ascii="Times New Roman" w:eastAsia="SimSun" w:hAnsi="Times New Roman" w:cs="Times New Roman"/>
          <w:sz w:val="24"/>
          <w:szCs w:val="24"/>
        </w:rPr>
        <w:t xml:space="preserve"> perusahaan memiliki </w:t>
      </w:r>
      <w:r w:rsidRPr="0055193F">
        <w:rPr>
          <w:rFonts w:ascii="Times New Roman" w:eastAsia="SimSun" w:hAnsi="Times New Roman" w:cs="Times New Roman"/>
          <w:sz w:val="24"/>
          <w:szCs w:val="24"/>
        </w:rPr>
        <w:t>tingkat profitabilitas</w:t>
      </w:r>
      <w:r w:rsidRPr="004B27B7">
        <w:rPr>
          <w:rFonts w:ascii="Times New Roman" w:eastAsia="SimSun" w:hAnsi="Times New Roman" w:cs="Times New Roman"/>
          <w:sz w:val="24"/>
          <w:szCs w:val="24"/>
        </w:rPr>
        <w:t xml:space="preserve"> yang rendah, sedangkan standar deviasi yang besar men</w:t>
      </w:r>
      <w:r w:rsidR="0055193F">
        <w:rPr>
          <w:rFonts w:ascii="Times New Roman" w:eastAsia="SimSun" w:hAnsi="Times New Roman" w:cs="Times New Roman"/>
          <w:sz w:val="24"/>
          <w:szCs w:val="24"/>
        </w:rPr>
        <w:t>andakan</w:t>
      </w:r>
      <w:r w:rsidRPr="004B27B7">
        <w:rPr>
          <w:rFonts w:ascii="Times New Roman" w:eastAsia="SimSun" w:hAnsi="Times New Roman" w:cs="Times New Roman"/>
          <w:sz w:val="24"/>
          <w:szCs w:val="24"/>
        </w:rPr>
        <w:t xml:space="preserve"> adanya perbedaan yang </w:t>
      </w:r>
      <w:r w:rsidR="0055193F">
        <w:rPr>
          <w:rFonts w:ascii="Times New Roman" w:eastAsia="SimSun" w:hAnsi="Times New Roman" w:cs="Times New Roman"/>
          <w:sz w:val="24"/>
          <w:szCs w:val="24"/>
        </w:rPr>
        <w:t xml:space="preserve">signifikan </w:t>
      </w:r>
      <w:r w:rsidRPr="004B27B7">
        <w:rPr>
          <w:rFonts w:ascii="Times New Roman" w:eastAsia="SimSun" w:hAnsi="Times New Roman" w:cs="Times New Roman"/>
          <w:sz w:val="24"/>
          <w:szCs w:val="24"/>
        </w:rPr>
        <w:t>antar</w:t>
      </w:r>
      <w:r w:rsidR="0055193F">
        <w:rPr>
          <w:rFonts w:ascii="Times New Roman" w:eastAsia="SimSun" w:hAnsi="Times New Roman" w:cs="Times New Roman"/>
          <w:sz w:val="24"/>
          <w:szCs w:val="24"/>
        </w:rPr>
        <w:t>a</w:t>
      </w:r>
      <w:r w:rsidRPr="004B27B7">
        <w:rPr>
          <w:rFonts w:ascii="Times New Roman" w:eastAsia="SimSun" w:hAnsi="Times New Roman" w:cs="Times New Roman"/>
          <w:sz w:val="24"/>
          <w:szCs w:val="24"/>
        </w:rPr>
        <w:t xml:space="preserve"> perusahaan dalam </w:t>
      </w:r>
      <w:r w:rsidR="0055193F">
        <w:rPr>
          <w:rFonts w:ascii="Times New Roman" w:eastAsia="SimSun" w:hAnsi="Times New Roman" w:cs="Times New Roman"/>
          <w:sz w:val="24"/>
          <w:szCs w:val="24"/>
        </w:rPr>
        <w:t>aspek</w:t>
      </w:r>
      <w:r w:rsidRPr="004B27B7">
        <w:rPr>
          <w:rFonts w:ascii="Times New Roman" w:eastAsia="SimSun" w:hAnsi="Times New Roman" w:cs="Times New Roman"/>
          <w:sz w:val="24"/>
          <w:szCs w:val="24"/>
        </w:rPr>
        <w:t xml:space="preserve"> kemampuan menghasilkan laba.</w:t>
      </w:r>
      <w:r w:rsidR="004B27B7">
        <w:rPr>
          <w:rFonts w:ascii="Times New Roman" w:hAnsi="Times New Roman" w:cs="Times New Roman"/>
          <w:sz w:val="24"/>
          <w:szCs w:val="24"/>
        </w:rPr>
        <w:t xml:space="preserve"> </w:t>
      </w:r>
      <w:r w:rsidRPr="004B27B7">
        <w:rPr>
          <w:rStyle w:val="Strong"/>
          <w:rFonts w:ascii="Times New Roman" w:eastAsia="SimSun" w:hAnsi="Times New Roman" w:cs="Times New Roman"/>
          <w:b w:val="0"/>
          <w:bCs w:val="0"/>
          <w:i/>
          <w:iCs/>
          <w:sz w:val="24"/>
          <w:szCs w:val="24"/>
        </w:rPr>
        <w:t>Green accounting</w:t>
      </w:r>
      <w:r w:rsidRPr="004B27B7">
        <w:rPr>
          <w:rFonts w:ascii="Times New Roman" w:eastAsia="SimSun" w:hAnsi="Times New Roman" w:cs="Times New Roman"/>
          <w:sz w:val="24"/>
          <w:szCs w:val="24"/>
        </w:rPr>
        <w:t xml:space="preserve"> menunjukkan nilai minimum sebesar -1070,45 dan maksimum sebesar 0,999, dengan nilai rata-rata -31,094 serta standar deviasi sebesar 119,666. Rata-rata yang bernilai negatif menunjukkan bahwa penerapan </w:t>
      </w:r>
      <w:r w:rsidRPr="004B27B7">
        <w:rPr>
          <w:rFonts w:ascii="Times New Roman" w:eastAsia="SimSun" w:hAnsi="Times New Roman" w:cs="Times New Roman"/>
          <w:i/>
          <w:iCs/>
          <w:sz w:val="24"/>
          <w:szCs w:val="24"/>
        </w:rPr>
        <w:t>green accounting</w:t>
      </w:r>
      <w:r w:rsidRPr="004B27B7">
        <w:rPr>
          <w:rFonts w:ascii="Times New Roman" w:eastAsia="SimSun" w:hAnsi="Times New Roman" w:cs="Times New Roman"/>
          <w:sz w:val="24"/>
          <w:szCs w:val="24"/>
        </w:rPr>
        <w:t xml:space="preserve"> pada perusahaan dalam sampel masih rendah, </w:t>
      </w:r>
      <w:r w:rsidR="0055193F">
        <w:rPr>
          <w:rFonts w:ascii="Times New Roman" w:eastAsia="SimSun" w:hAnsi="Times New Roman" w:cs="Times New Roman"/>
          <w:sz w:val="24"/>
          <w:szCs w:val="24"/>
        </w:rPr>
        <w:t>sementara</w:t>
      </w:r>
      <w:r w:rsidRPr="004B27B7">
        <w:rPr>
          <w:rFonts w:ascii="Times New Roman" w:eastAsia="SimSun" w:hAnsi="Times New Roman" w:cs="Times New Roman"/>
          <w:sz w:val="24"/>
          <w:szCs w:val="24"/>
        </w:rPr>
        <w:t xml:space="preserve"> nilai standar deviasi yang tinggi menandakan adanya perbedaan yang besar antar perusahaan dalam penerapannya.</w:t>
      </w:r>
    </w:p>
    <w:p w14:paraId="76C721D7" w14:textId="17C62521" w:rsidR="008775EB" w:rsidRPr="004B27B7" w:rsidRDefault="00000000" w:rsidP="004B27B7">
      <w:pPr>
        <w:spacing w:line="360" w:lineRule="auto"/>
        <w:jc w:val="center"/>
        <w:rPr>
          <w:rFonts w:ascii="Times New Roman" w:hAnsi="Times New Roman" w:cs="Times New Roman"/>
          <w:sz w:val="24"/>
          <w:szCs w:val="24"/>
        </w:rPr>
      </w:pPr>
      <w:r w:rsidRPr="004B27B7">
        <w:rPr>
          <w:rFonts w:ascii="Times New Roman" w:hAnsi="Times New Roman" w:cs="Times New Roman"/>
          <w:b/>
          <w:bCs/>
          <w:sz w:val="24"/>
          <w:szCs w:val="24"/>
        </w:rPr>
        <w:t>Tabel 4.2 Hasil Uji Normalitas</w:t>
      </w:r>
    </w:p>
    <w:tbl>
      <w:tblPr>
        <w:tblW w:w="915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2444"/>
        <w:gridCol w:w="2115"/>
        <w:gridCol w:w="4600"/>
      </w:tblGrid>
      <w:tr w:rsidR="008775EB" w:rsidRPr="004B27B7" w14:paraId="12A36ADF" w14:textId="77777777">
        <w:trPr>
          <w:cantSplit/>
        </w:trPr>
        <w:tc>
          <w:tcPr>
            <w:tcW w:w="9159" w:type="dxa"/>
            <w:gridSpan w:val="3"/>
            <w:tcBorders>
              <w:top w:val="nil"/>
              <w:left w:val="nil"/>
              <w:bottom w:val="nil"/>
              <w:right w:val="nil"/>
              <w:tl2br w:val="nil"/>
              <w:tr2bl w:val="nil"/>
            </w:tcBorders>
            <w:shd w:val="clear" w:color="auto" w:fill="FFFFFF"/>
            <w:vAlign w:val="center"/>
          </w:tcPr>
          <w:p w14:paraId="506A21E7" w14:textId="77777777" w:rsidR="008775EB" w:rsidRPr="004B27B7" w:rsidRDefault="00000000" w:rsidP="005203B6">
            <w:pPr>
              <w:spacing w:line="240" w:lineRule="auto"/>
              <w:ind w:left="60" w:right="60"/>
              <w:jc w:val="center"/>
              <w:rPr>
                <w:rFonts w:ascii="Times New Roman" w:hAnsi="Times New Roman" w:cs="Times New Roman"/>
                <w:color w:val="010205"/>
              </w:rPr>
            </w:pPr>
            <w:r w:rsidRPr="004B27B7">
              <w:rPr>
                <w:rFonts w:ascii="Times New Roman" w:hAnsi="Times New Roman" w:cs="Times New Roman"/>
                <w:b/>
                <w:color w:val="010205"/>
              </w:rPr>
              <w:t>One-Sample Kolmogorov-Smirnov Test</w:t>
            </w:r>
          </w:p>
        </w:tc>
      </w:tr>
      <w:tr w:rsidR="008775EB" w:rsidRPr="004B27B7" w14:paraId="0722B8A1" w14:textId="77777777">
        <w:trPr>
          <w:cantSplit/>
        </w:trPr>
        <w:tc>
          <w:tcPr>
            <w:tcW w:w="4559" w:type="dxa"/>
            <w:gridSpan w:val="2"/>
            <w:tcBorders>
              <w:top w:val="nil"/>
              <w:left w:val="nil"/>
              <w:bottom w:val="single" w:sz="8" w:space="0" w:color="152935"/>
              <w:right w:val="nil"/>
              <w:tl2br w:val="nil"/>
              <w:tr2bl w:val="nil"/>
            </w:tcBorders>
            <w:shd w:val="clear" w:color="auto" w:fill="FFFFFF"/>
            <w:vAlign w:val="bottom"/>
          </w:tcPr>
          <w:p w14:paraId="22479939" w14:textId="77777777" w:rsidR="008775EB" w:rsidRPr="004B27B7" w:rsidRDefault="008775EB" w:rsidP="005203B6">
            <w:pPr>
              <w:spacing w:line="240" w:lineRule="auto"/>
              <w:jc w:val="center"/>
              <w:rPr>
                <w:rFonts w:ascii="Times New Roman" w:hAnsi="Times New Roman" w:cs="Times New Roman"/>
              </w:rPr>
            </w:pPr>
          </w:p>
        </w:tc>
        <w:tc>
          <w:tcPr>
            <w:tcW w:w="4600" w:type="dxa"/>
            <w:tcBorders>
              <w:top w:val="nil"/>
              <w:left w:val="nil"/>
              <w:bottom w:val="single" w:sz="8" w:space="0" w:color="152935"/>
              <w:right w:val="nil"/>
              <w:tl2br w:val="nil"/>
              <w:tr2bl w:val="nil"/>
            </w:tcBorders>
            <w:shd w:val="clear" w:color="auto" w:fill="FFFFFF"/>
            <w:vAlign w:val="bottom"/>
          </w:tcPr>
          <w:p w14:paraId="2FCDD9A1" w14:textId="77777777" w:rsidR="008775EB" w:rsidRPr="004B27B7" w:rsidRDefault="00000000" w:rsidP="005203B6">
            <w:pPr>
              <w:spacing w:line="240" w:lineRule="auto"/>
              <w:ind w:left="60" w:right="60"/>
              <w:jc w:val="center"/>
              <w:rPr>
                <w:rFonts w:ascii="Times New Roman" w:hAnsi="Times New Roman" w:cs="Times New Roman"/>
                <w:color w:val="264A60"/>
              </w:rPr>
            </w:pPr>
            <w:r w:rsidRPr="004B27B7">
              <w:rPr>
                <w:rFonts w:ascii="Times New Roman" w:hAnsi="Times New Roman" w:cs="Times New Roman"/>
                <w:color w:val="264A60"/>
              </w:rPr>
              <w:t>Unstandardized Residual</w:t>
            </w:r>
          </w:p>
        </w:tc>
      </w:tr>
      <w:tr w:rsidR="008775EB" w:rsidRPr="004B27B7" w14:paraId="16BDFACE" w14:textId="77777777">
        <w:trPr>
          <w:cantSplit/>
        </w:trPr>
        <w:tc>
          <w:tcPr>
            <w:tcW w:w="4559" w:type="dxa"/>
            <w:gridSpan w:val="2"/>
            <w:tcBorders>
              <w:top w:val="single" w:sz="8" w:space="0" w:color="152935"/>
              <w:left w:val="nil"/>
              <w:bottom w:val="single" w:sz="8" w:space="0" w:color="AEAEAE"/>
              <w:right w:val="nil"/>
              <w:tl2br w:val="nil"/>
              <w:tr2bl w:val="nil"/>
            </w:tcBorders>
            <w:shd w:val="clear" w:color="auto" w:fill="E0E0E0"/>
          </w:tcPr>
          <w:p w14:paraId="5A11A25F" w14:textId="77777777" w:rsidR="008775EB" w:rsidRPr="004B27B7" w:rsidRDefault="00000000" w:rsidP="005203B6">
            <w:pPr>
              <w:spacing w:line="240" w:lineRule="auto"/>
              <w:ind w:left="60" w:right="60"/>
              <w:jc w:val="both"/>
              <w:rPr>
                <w:rFonts w:ascii="Times New Roman" w:hAnsi="Times New Roman" w:cs="Times New Roman"/>
                <w:color w:val="264A60"/>
              </w:rPr>
            </w:pPr>
            <w:r w:rsidRPr="004B27B7">
              <w:rPr>
                <w:rFonts w:ascii="Times New Roman" w:hAnsi="Times New Roman" w:cs="Times New Roman"/>
                <w:color w:val="264A60"/>
              </w:rPr>
              <w:t>N</w:t>
            </w:r>
          </w:p>
        </w:tc>
        <w:tc>
          <w:tcPr>
            <w:tcW w:w="4600" w:type="dxa"/>
            <w:tcBorders>
              <w:top w:val="single" w:sz="8" w:space="0" w:color="152935"/>
              <w:left w:val="nil"/>
              <w:bottom w:val="single" w:sz="8" w:space="0" w:color="AEAEAE"/>
              <w:right w:val="nil"/>
              <w:tl2br w:val="nil"/>
              <w:tr2bl w:val="nil"/>
            </w:tcBorders>
            <w:shd w:val="clear" w:color="auto" w:fill="FFFFFF"/>
          </w:tcPr>
          <w:p w14:paraId="718F04F4" w14:textId="77777777" w:rsidR="008775EB" w:rsidRPr="004B27B7" w:rsidRDefault="00000000" w:rsidP="005203B6">
            <w:pPr>
              <w:spacing w:line="240" w:lineRule="auto"/>
              <w:ind w:left="60" w:right="60"/>
              <w:jc w:val="right"/>
              <w:rPr>
                <w:rFonts w:ascii="Times New Roman" w:hAnsi="Times New Roman" w:cs="Times New Roman"/>
                <w:color w:val="010205"/>
              </w:rPr>
            </w:pPr>
            <w:r w:rsidRPr="004B27B7">
              <w:rPr>
                <w:rFonts w:ascii="Times New Roman" w:hAnsi="Times New Roman" w:cs="Times New Roman"/>
                <w:color w:val="010205"/>
              </w:rPr>
              <w:t>100</w:t>
            </w:r>
          </w:p>
        </w:tc>
      </w:tr>
      <w:tr w:rsidR="008775EB" w:rsidRPr="004B27B7" w14:paraId="7784BFCC" w14:textId="77777777">
        <w:trPr>
          <w:cantSplit/>
        </w:trPr>
        <w:tc>
          <w:tcPr>
            <w:tcW w:w="2444" w:type="dxa"/>
            <w:vMerge w:val="restart"/>
            <w:tcBorders>
              <w:top w:val="single" w:sz="8" w:space="0" w:color="AEAEAE"/>
              <w:left w:val="nil"/>
              <w:bottom w:val="single" w:sz="8" w:space="0" w:color="AEAEAE"/>
              <w:right w:val="nil"/>
              <w:tl2br w:val="nil"/>
              <w:tr2bl w:val="nil"/>
            </w:tcBorders>
            <w:shd w:val="clear" w:color="auto" w:fill="E0E0E0"/>
          </w:tcPr>
          <w:p w14:paraId="114B758C" w14:textId="77777777" w:rsidR="008775EB" w:rsidRPr="004B27B7" w:rsidRDefault="00000000" w:rsidP="005203B6">
            <w:pPr>
              <w:spacing w:line="240" w:lineRule="auto"/>
              <w:ind w:left="60" w:right="60"/>
              <w:jc w:val="both"/>
              <w:rPr>
                <w:rFonts w:ascii="Times New Roman" w:hAnsi="Times New Roman" w:cs="Times New Roman"/>
                <w:color w:val="264A60"/>
              </w:rPr>
            </w:pPr>
            <w:r w:rsidRPr="004B27B7">
              <w:rPr>
                <w:rFonts w:ascii="Times New Roman" w:hAnsi="Times New Roman" w:cs="Times New Roman"/>
                <w:color w:val="264A60"/>
              </w:rPr>
              <w:t>Normal Parameters</w:t>
            </w:r>
            <w:r w:rsidRPr="004B27B7">
              <w:rPr>
                <w:rFonts w:ascii="Times New Roman" w:hAnsi="Times New Roman" w:cs="Times New Roman"/>
                <w:color w:val="264A60"/>
                <w:vertAlign w:val="superscript"/>
              </w:rPr>
              <w:t>a,b</w:t>
            </w:r>
          </w:p>
        </w:tc>
        <w:tc>
          <w:tcPr>
            <w:tcW w:w="2115" w:type="dxa"/>
            <w:tcBorders>
              <w:top w:val="single" w:sz="8" w:space="0" w:color="AEAEAE"/>
              <w:left w:val="nil"/>
              <w:bottom w:val="single" w:sz="8" w:space="0" w:color="AEAEAE"/>
              <w:right w:val="nil"/>
              <w:tl2br w:val="nil"/>
              <w:tr2bl w:val="nil"/>
            </w:tcBorders>
            <w:shd w:val="clear" w:color="auto" w:fill="E0E0E0"/>
          </w:tcPr>
          <w:p w14:paraId="16E944FE" w14:textId="77777777" w:rsidR="008775EB" w:rsidRPr="004B27B7" w:rsidRDefault="00000000" w:rsidP="005203B6">
            <w:pPr>
              <w:spacing w:line="240" w:lineRule="auto"/>
              <w:ind w:left="60" w:right="60"/>
              <w:jc w:val="both"/>
              <w:rPr>
                <w:rFonts w:ascii="Times New Roman" w:hAnsi="Times New Roman" w:cs="Times New Roman"/>
                <w:color w:val="264A60"/>
              </w:rPr>
            </w:pPr>
            <w:r w:rsidRPr="004B27B7">
              <w:rPr>
                <w:rFonts w:ascii="Times New Roman" w:hAnsi="Times New Roman" w:cs="Times New Roman"/>
                <w:color w:val="264A60"/>
              </w:rPr>
              <w:t>Mean</w:t>
            </w:r>
          </w:p>
        </w:tc>
        <w:tc>
          <w:tcPr>
            <w:tcW w:w="4600" w:type="dxa"/>
            <w:tcBorders>
              <w:top w:val="single" w:sz="8" w:space="0" w:color="AEAEAE"/>
              <w:left w:val="nil"/>
              <w:bottom w:val="single" w:sz="8" w:space="0" w:color="AEAEAE"/>
              <w:right w:val="nil"/>
              <w:tl2br w:val="nil"/>
              <w:tr2bl w:val="nil"/>
            </w:tcBorders>
            <w:shd w:val="clear" w:color="auto" w:fill="FFFFFF"/>
          </w:tcPr>
          <w:p w14:paraId="0E08828B" w14:textId="77777777" w:rsidR="008775EB" w:rsidRPr="004B27B7" w:rsidRDefault="00000000" w:rsidP="005203B6">
            <w:pPr>
              <w:spacing w:line="240" w:lineRule="auto"/>
              <w:ind w:left="60" w:right="60"/>
              <w:jc w:val="right"/>
              <w:rPr>
                <w:rFonts w:ascii="Times New Roman" w:hAnsi="Times New Roman" w:cs="Times New Roman"/>
                <w:color w:val="010205"/>
              </w:rPr>
            </w:pPr>
            <w:r w:rsidRPr="004B27B7">
              <w:rPr>
                <w:rFonts w:ascii="Times New Roman" w:hAnsi="Times New Roman" w:cs="Times New Roman"/>
                <w:color w:val="010205"/>
              </w:rPr>
              <w:t>,0000000</w:t>
            </w:r>
          </w:p>
        </w:tc>
      </w:tr>
      <w:tr w:rsidR="008775EB" w:rsidRPr="004B27B7" w14:paraId="5F6FDE2C" w14:textId="77777777">
        <w:trPr>
          <w:cantSplit/>
        </w:trPr>
        <w:tc>
          <w:tcPr>
            <w:tcW w:w="2444" w:type="dxa"/>
            <w:vMerge/>
            <w:tcBorders>
              <w:top w:val="single" w:sz="8" w:space="0" w:color="AEAEAE"/>
              <w:left w:val="nil"/>
              <w:bottom w:val="single" w:sz="8" w:space="0" w:color="AEAEAE"/>
              <w:right w:val="nil"/>
              <w:tl2br w:val="nil"/>
              <w:tr2bl w:val="nil"/>
            </w:tcBorders>
            <w:shd w:val="clear" w:color="auto" w:fill="E0E0E0"/>
          </w:tcPr>
          <w:p w14:paraId="3ABEE2E1" w14:textId="77777777" w:rsidR="008775EB" w:rsidRPr="004B27B7" w:rsidRDefault="008775EB" w:rsidP="005203B6">
            <w:pPr>
              <w:spacing w:line="240" w:lineRule="auto"/>
              <w:jc w:val="both"/>
              <w:rPr>
                <w:rFonts w:ascii="Times New Roman" w:hAnsi="Times New Roman" w:cs="Times New Roman"/>
                <w:color w:val="010205"/>
              </w:rPr>
            </w:pPr>
          </w:p>
        </w:tc>
        <w:tc>
          <w:tcPr>
            <w:tcW w:w="2115" w:type="dxa"/>
            <w:tcBorders>
              <w:top w:val="single" w:sz="8" w:space="0" w:color="AEAEAE"/>
              <w:left w:val="nil"/>
              <w:bottom w:val="single" w:sz="8" w:space="0" w:color="AEAEAE"/>
              <w:right w:val="nil"/>
              <w:tl2br w:val="nil"/>
              <w:tr2bl w:val="nil"/>
            </w:tcBorders>
            <w:shd w:val="clear" w:color="auto" w:fill="E0E0E0"/>
          </w:tcPr>
          <w:p w14:paraId="4812AFA0" w14:textId="77777777" w:rsidR="008775EB" w:rsidRPr="004B27B7" w:rsidRDefault="00000000" w:rsidP="005203B6">
            <w:pPr>
              <w:spacing w:line="240" w:lineRule="auto"/>
              <w:ind w:left="60" w:right="60"/>
              <w:jc w:val="both"/>
              <w:rPr>
                <w:rFonts w:ascii="Times New Roman" w:hAnsi="Times New Roman" w:cs="Times New Roman"/>
                <w:color w:val="264A60"/>
              </w:rPr>
            </w:pPr>
            <w:r w:rsidRPr="004B27B7">
              <w:rPr>
                <w:rFonts w:ascii="Times New Roman" w:hAnsi="Times New Roman" w:cs="Times New Roman"/>
                <w:color w:val="264A60"/>
              </w:rPr>
              <w:t>Std. Deviation</w:t>
            </w:r>
          </w:p>
        </w:tc>
        <w:tc>
          <w:tcPr>
            <w:tcW w:w="4600" w:type="dxa"/>
            <w:tcBorders>
              <w:top w:val="single" w:sz="8" w:space="0" w:color="AEAEAE"/>
              <w:left w:val="nil"/>
              <w:bottom w:val="single" w:sz="8" w:space="0" w:color="AEAEAE"/>
              <w:right w:val="nil"/>
              <w:tl2br w:val="nil"/>
              <w:tr2bl w:val="nil"/>
            </w:tcBorders>
            <w:shd w:val="clear" w:color="auto" w:fill="FFFFFF"/>
          </w:tcPr>
          <w:p w14:paraId="0FE85775" w14:textId="77777777" w:rsidR="008775EB" w:rsidRPr="004B27B7" w:rsidRDefault="00000000" w:rsidP="005203B6">
            <w:pPr>
              <w:spacing w:line="240" w:lineRule="auto"/>
              <w:ind w:left="60" w:right="60"/>
              <w:jc w:val="right"/>
              <w:rPr>
                <w:rFonts w:ascii="Times New Roman" w:hAnsi="Times New Roman" w:cs="Times New Roman"/>
                <w:color w:val="010205"/>
              </w:rPr>
            </w:pPr>
            <w:r w:rsidRPr="004B27B7">
              <w:rPr>
                <w:rFonts w:ascii="Times New Roman" w:hAnsi="Times New Roman" w:cs="Times New Roman"/>
                <w:color w:val="010205"/>
              </w:rPr>
              <w:t>13,51134660</w:t>
            </w:r>
          </w:p>
        </w:tc>
      </w:tr>
      <w:tr w:rsidR="008775EB" w:rsidRPr="004B27B7" w14:paraId="6B529209" w14:textId="77777777">
        <w:trPr>
          <w:cantSplit/>
        </w:trPr>
        <w:tc>
          <w:tcPr>
            <w:tcW w:w="2444" w:type="dxa"/>
            <w:vMerge w:val="restart"/>
            <w:tcBorders>
              <w:top w:val="single" w:sz="8" w:space="0" w:color="AEAEAE"/>
              <w:left w:val="nil"/>
              <w:bottom w:val="single" w:sz="8" w:space="0" w:color="AEAEAE"/>
              <w:right w:val="nil"/>
              <w:tl2br w:val="nil"/>
              <w:tr2bl w:val="nil"/>
            </w:tcBorders>
            <w:shd w:val="clear" w:color="auto" w:fill="E0E0E0"/>
          </w:tcPr>
          <w:p w14:paraId="61AB2070" w14:textId="77777777" w:rsidR="008775EB" w:rsidRPr="004B27B7" w:rsidRDefault="00000000" w:rsidP="005203B6">
            <w:pPr>
              <w:spacing w:line="240" w:lineRule="auto"/>
              <w:ind w:left="60" w:right="60"/>
              <w:jc w:val="both"/>
              <w:rPr>
                <w:rFonts w:ascii="Times New Roman" w:hAnsi="Times New Roman" w:cs="Times New Roman"/>
                <w:color w:val="264A60"/>
              </w:rPr>
            </w:pPr>
            <w:r w:rsidRPr="004B27B7">
              <w:rPr>
                <w:rFonts w:ascii="Times New Roman" w:hAnsi="Times New Roman" w:cs="Times New Roman"/>
                <w:color w:val="264A60"/>
              </w:rPr>
              <w:t>Most Extreme Differences</w:t>
            </w:r>
          </w:p>
        </w:tc>
        <w:tc>
          <w:tcPr>
            <w:tcW w:w="2115" w:type="dxa"/>
            <w:tcBorders>
              <w:top w:val="single" w:sz="8" w:space="0" w:color="AEAEAE"/>
              <w:left w:val="nil"/>
              <w:bottom w:val="single" w:sz="8" w:space="0" w:color="AEAEAE"/>
              <w:right w:val="nil"/>
              <w:tl2br w:val="nil"/>
              <w:tr2bl w:val="nil"/>
            </w:tcBorders>
            <w:shd w:val="clear" w:color="auto" w:fill="E0E0E0"/>
          </w:tcPr>
          <w:p w14:paraId="7D085C73" w14:textId="77777777" w:rsidR="008775EB" w:rsidRPr="004B27B7" w:rsidRDefault="00000000" w:rsidP="005203B6">
            <w:pPr>
              <w:spacing w:line="240" w:lineRule="auto"/>
              <w:ind w:left="60" w:right="60"/>
              <w:jc w:val="both"/>
              <w:rPr>
                <w:rFonts w:ascii="Times New Roman" w:hAnsi="Times New Roman" w:cs="Times New Roman"/>
                <w:color w:val="264A60"/>
              </w:rPr>
            </w:pPr>
            <w:r w:rsidRPr="004B27B7">
              <w:rPr>
                <w:rFonts w:ascii="Times New Roman" w:hAnsi="Times New Roman" w:cs="Times New Roman"/>
                <w:color w:val="264A60"/>
              </w:rPr>
              <w:t>Absolute</w:t>
            </w:r>
          </w:p>
        </w:tc>
        <w:tc>
          <w:tcPr>
            <w:tcW w:w="4600" w:type="dxa"/>
            <w:tcBorders>
              <w:top w:val="single" w:sz="8" w:space="0" w:color="AEAEAE"/>
              <w:left w:val="nil"/>
              <w:bottom w:val="single" w:sz="8" w:space="0" w:color="AEAEAE"/>
              <w:right w:val="nil"/>
              <w:tl2br w:val="nil"/>
              <w:tr2bl w:val="nil"/>
            </w:tcBorders>
            <w:shd w:val="clear" w:color="auto" w:fill="FFFFFF"/>
          </w:tcPr>
          <w:p w14:paraId="44CF99F8" w14:textId="77777777" w:rsidR="008775EB" w:rsidRPr="004B27B7" w:rsidRDefault="00000000" w:rsidP="005203B6">
            <w:pPr>
              <w:spacing w:line="240" w:lineRule="auto"/>
              <w:ind w:left="60" w:right="60"/>
              <w:jc w:val="right"/>
              <w:rPr>
                <w:rFonts w:ascii="Times New Roman" w:hAnsi="Times New Roman" w:cs="Times New Roman"/>
                <w:color w:val="010205"/>
              </w:rPr>
            </w:pPr>
            <w:r w:rsidRPr="004B27B7">
              <w:rPr>
                <w:rFonts w:ascii="Times New Roman" w:hAnsi="Times New Roman" w:cs="Times New Roman"/>
                <w:color w:val="010205"/>
              </w:rPr>
              <w:t>,434</w:t>
            </w:r>
          </w:p>
        </w:tc>
      </w:tr>
      <w:tr w:rsidR="008775EB" w:rsidRPr="004B27B7" w14:paraId="726AC0A6" w14:textId="77777777">
        <w:trPr>
          <w:cantSplit/>
        </w:trPr>
        <w:tc>
          <w:tcPr>
            <w:tcW w:w="2444" w:type="dxa"/>
            <w:vMerge/>
            <w:tcBorders>
              <w:top w:val="single" w:sz="8" w:space="0" w:color="AEAEAE"/>
              <w:left w:val="nil"/>
              <w:bottom w:val="single" w:sz="8" w:space="0" w:color="AEAEAE"/>
              <w:right w:val="nil"/>
              <w:tl2br w:val="nil"/>
              <w:tr2bl w:val="nil"/>
            </w:tcBorders>
            <w:shd w:val="clear" w:color="auto" w:fill="E0E0E0"/>
          </w:tcPr>
          <w:p w14:paraId="59B96665" w14:textId="77777777" w:rsidR="008775EB" w:rsidRPr="004B27B7" w:rsidRDefault="008775EB" w:rsidP="005203B6">
            <w:pPr>
              <w:spacing w:line="240" w:lineRule="auto"/>
              <w:jc w:val="both"/>
              <w:rPr>
                <w:rFonts w:ascii="Times New Roman" w:hAnsi="Times New Roman" w:cs="Times New Roman"/>
                <w:color w:val="010205"/>
              </w:rPr>
            </w:pPr>
          </w:p>
        </w:tc>
        <w:tc>
          <w:tcPr>
            <w:tcW w:w="2115" w:type="dxa"/>
            <w:tcBorders>
              <w:top w:val="single" w:sz="8" w:space="0" w:color="AEAEAE"/>
              <w:left w:val="nil"/>
              <w:bottom w:val="single" w:sz="8" w:space="0" w:color="AEAEAE"/>
              <w:right w:val="nil"/>
              <w:tl2br w:val="nil"/>
              <w:tr2bl w:val="nil"/>
            </w:tcBorders>
            <w:shd w:val="clear" w:color="auto" w:fill="E0E0E0"/>
          </w:tcPr>
          <w:p w14:paraId="389A05BC" w14:textId="77777777" w:rsidR="008775EB" w:rsidRPr="004B27B7" w:rsidRDefault="00000000" w:rsidP="005203B6">
            <w:pPr>
              <w:spacing w:line="240" w:lineRule="auto"/>
              <w:ind w:left="60" w:right="60"/>
              <w:jc w:val="both"/>
              <w:rPr>
                <w:rFonts w:ascii="Times New Roman" w:hAnsi="Times New Roman" w:cs="Times New Roman"/>
                <w:color w:val="264A60"/>
              </w:rPr>
            </w:pPr>
            <w:r w:rsidRPr="004B27B7">
              <w:rPr>
                <w:rFonts w:ascii="Times New Roman" w:hAnsi="Times New Roman" w:cs="Times New Roman"/>
                <w:color w:val="264A60"/>
              </w:rPr>
              <w:t>Positive</w:t>
            </w:r>
          </w:p>
        </w:tc>
        <w:tc>
          <w:tcPr>
            <w:tcW w:w="4600" w:type="dxa"/>
            <w:tcBorders>
              <w:top w:val="single" w:sz="8" w:space="0" w:color="AEAEAE"/>
              <w:left w:val="nil"/>
              <w:bottom w:val="single" w:sz="8" w:space="0" w:color="AEAEAE"/>
              <w:right w:val="nil"/>
              <w:tl2br w:val="nil"/>
              <w:tr2bl w:val="nil"/>
            </w:tcBorders>
            <w:shd w:val="clear" w:color="auto" w:fill="FFFFFF"/>
          </w:tcPr>
          <w:p w14:paraId="07DADD5C" w14:textId="77777777" w:rsidR="008775EB" w:rsidRPr="004B27B7" w:rsidRDefault="00000000" w:rsidP="005203B6">
            <w:pPr>
              <w:spacing w:line="240" w:lineRule="auto"/>
              <w:ind w:left="60" w:right="60"/>
              <w:jc w:val="right"/>
              <w:rPr>
                <w:rFonts w:ascii="Times New Roman" w:hAnsi="Times New Roman" w:cs="Times New Roman"/>
                <w:color w:val="010205"/>
              </w:rPr>
            </w:pPr>
            <w:r w:rsidRPr="004B27B7">
              <w:rPr>
                <w:rFonts w:ascii="Times New Roman" w:hAnsi="Times New Roman" w:cs="Times New Roman"/>
                <w:color w:val="010205"/>
              </w:rPr>
              <w:t>,434</w:t>
            </w:r>
          </w:p>
        </w:tc>
      </w:tr>
      <w:tr w:rsidR="008775EB" w:rsidRPr="004B27B7" w14:paraId="6EE485CA" w14:textId="77777777">
        <w:trPr>
          <w:cantSplit/>
        </w:trPr>
        <w:tc>
          <w:tcPr>
            <w:tcW w:w="2444" w:type="dxa"/>
            <w:vMerge/>
            <w:tcBorders>
              <w:top w:val="single" w:sz="8" w:space="0" w:color="AEAEAE"/>
              <w:left w:val="nil"/>
              <w:bottom w:val="single" w:sz="8" w:space="0" w:color="AEAEAE"/>
              <w:right w:val="nil"/>
              <w:tl2br w:val="nil"/>
              <w:tr2bl w:val="nil"/>
            </w:tcBorders>
            <w:shd w:val="clear" w:color="auto" w:fill="E0E0E0"/>
          </w:tcPr>
          <w:p w14:paraId="046DA349" w14:textId="77777777" w:rsidR="008775EB" w:rsidRPr="004B27B7" w:rsidRDefault="008775EB" w:rsidP="005203B6">
            <w:pPr>
              <w:spacing w:line="240" w:lineRule="auto"/>
              <w:jc w:val="both"/>
              <w:rPr>
                <w:rFonts w:ascii="Times New Roman" w:hAnsi="Times New Roman" w:cs="Times New Roman"/>
                <w:color w:val="010205"/>
              </w:rPr>
            </w:pPr>
          </w:p>
        </w:tc>
        <w:tc>
          <w:tcPr>
            <w:tcW w:w="2115" w:type="dxa"/>
            <w:tcBorders>
              <w:top w:val="single" w:sz="8" w:space="0" w:color="AEAEAE"/>
              <w:left w:val="nil"/>
              <w:bottom w:val="single" w:sz="8" w:space="0" w:color="AEAEAE"/>
              <w:right w:val="nil"/>
              <w:tl2br w:val="nil"/>
              <w:tr2bl w:val="nil"/>
            </w:tcBorders>
            <w:shd w:val="clear" w:color="auto" w:fill="E0E0E0"/>
          </w:tcPr>
          <w:p w14:paraId="7D1DC81C" w14:textId="77777777" w:rsidR="008775EB" w:rsidRPr="004B27B7" w:rsidRDefault="00000000" w:rsidP="005203B6">
            <w:pPr>
              <w:spacing w:line="240" w:lineRule="auto"/>
              <w:ind w:left="60" w:right="60"/>
              <w:jc w:val="both"/>
              <w:rPr>
                <w:rFonts w:ascii="Times New Roman" w:hAnsi="Times New Roman" w:cs="Times New Roman"/>
                <w:color w:val="264A60"/>
              </w:rPr>
            </w:pPr>
            <w:r w:rsidRPr="004B27B7">
              <w:rPr>
                <w:rFonts w:ascii="Times New Roman" w:hAnsi="Times New Roman" w:cs="Times New Roman"/>
                <w:color w:val="264A60"/>
              </w:rPr>
              <w:t>Negative</w:t>
            </w:r>
          </w:p>
        </w:tc>
        <w:tc>
          <w:tcPr>
            <w:tcW w:w="4600" w:type="dxa"/>
            <w:tcBorders>
              <w:top w:val="single" w:sz="8" w:space="0" w:color="AEAEAE"/>
              <w:left w:val="nil"/>
              <w:bottom w:val="single" w:sz="8" w:space="0" w:color="AEAEAE"/>
              <w:right w:val="nil"/>
              <w:tl2br w:val="nil"/>
              <w:tr2bl w:val="nil"/>
            </w:tcBorders>
            <w:shd w:val="clear" w:color="auto" w:fill="FFFFFF"/>
          </w:tcPr>
          <w:p w14:paraId="7A92DAE5" w14:textId="77777777" w:rsidR="008775EB" w:rsidRPr="004B27B7" w:rsidRDefault="00000000" w:rsidP="005203B6">
            <w:pPr>
              <w:spacing w:line="240" w:lineRule="auto"/>
              <w:ind w:left="60" w:right="60"/>
              <w:jc w:val="right"/>
              <w:rPr>
                <w:rFonts w:ascii="Times New Roman" w:hAnsi="Times New Roman" w:cs="Times New Roman"/>
                <w:color w:val="010205"/>
              </w:rPr>
            </w:pPr>
            <w:r w:rsidRPr="004B27B7">
              <w:rPr>
                <w:rFonts w:ascii="Times New Roman" w:hAnsi="Times New Roman" w:cs="Times New Roman"/>
                <w:color w:val="010205"/>
              </w:rPr>
              <w:t>-,399</w:t>
            </w:r>
          </w:p>
        </w:tc>
      </w:tr>
      <w:tr w:rsidR="008775EB" w:rsidRPr="004B27B7" w14:paraId="675D04D2" w14:textId="77777777">
        <w:trPr>
          <w:cantSplit/>
        </w:trPr>
        <w:tc>
          <w:tcPr>
            <w:tcW w:w="4559" w:type="dxa"/>
            <w:gridSpan w:val="2"/>
            <w:tcBorders>
              <w:top w:val="single" w:sz="8" w:space="0" w:color="AEAEAE"/>
              <w:left w:val="nil"/>
              <w:bottom w:val="single" w:sz="8" w:space="0" w:color="AEAEAE"/>
              <w:right w:val="nil"/>
              <w:tl2br w:val="nil"/>
              <w:tr2bl w:val="nil"/>
            </w:tcBorders>
            <w:shd w:val="clear" w:color="auto" w:fill="E0E0E0"/>
          </w:tcPr>
          <w:p w14:paraId="4FED874D" w14:textId="77777777" w:rsidR="008775EB" w:rsidRPr="004B27B7" w:rsidRDefault="00000000" w:rsidP="005203B6">
            <w:pPr>
              <w:spacing w:line="240" w:lineRule="auto"/>
              <w:ind w:left="60" w:right="60"/>
              <w:jc w:val="both"/>
              <w:rPr>
                <w:rFonts w:ascii="Times New Roman" w:hAnsi="Times New Roman" w:cs="Times New Roman"/>
                <w:color w:val="264A60"/>
              </w:rPr>
            </w:pPr>
            <w:r w:rsidRPr="004B27B7">
              <w:rPr>
                <w:rFonts w:ascii="Times New Roman" w:hAnsi="Times New Roman" w:cs="Times New Roman"/>
                <w:color w:val="264A60"/>
              </w:rPr>
              <w:t>Test Statistic</w:t>
            </w:r>
          </w:p>
        </w:tc>
        <w:tc>
          <w:tcPr>
            <w:tcW w:w="4600" w:type="dxa"/>
            <w:tcBorders>
              <w:top w:val="single" w:sz="8" w:space="0" w:color="AEAEAE"/>
              <w:left w:val="nil"/>
              <w:bottom w:val="single" w:sz="8" w:space="0" w:color="AEAEAE"/>
              <w:right w:val="nil"/>
              <w:tl2br w:val="nil"/>
              <w:tr2bl w:val="nil"/>
            </w:tcBorders>
            <w:shd w:val="clear" w:color="auto" w:fill="FFFFFF"/>
          </w:tcPr>
          <w:p w14:paraId="666C649F" w14:textId="77777777" w:rsidR="008775EB" w:rsidRPr="004B27B7" w:rsidRDefault="00000000" w:rsidP="005203B6">
            <w:pPr>
              <w:spacing w:line="240" w:lineRule="auto"/>
              <w:ind w:left="60" w:right="60"/>
              <w:jc w:val="right"/>
              <w:rPr>
                <w:rFonts w:ascii="Times New Roman" w:hAnsi="Times New Roman" w:cs="Times New Roman"/>
                <w:color w:val="010205"/>
              </w:rPr>
            </w:pPr>
            <w:r w:rsidRPr="004B27B7">
              <w:rPr>
                <w:rFonts w:ascii="Times New Roman" w:hAnsi="Times New Roman" w:cs="Times New Roman"/>
                <w:color w:val="010205"/>
              </w:rPr>
              <w:t>,434</w:t>
            </w:r>
          </w:p>
        </w:tc>
      </w:tr>
      <w:tr w:rsidR="008775EB" w:rsidRPr="004B27B7" w14:paraId="1BFE0C54" w14:textId="77777777">
        <w:trPr>
          <w:cantSplit/>
        </w:trPr>
        <w:tc>
          <w:tcPr>
            <w:tcW w:w="4559" w:type="dxa"/>
            <w:gridSpan w:val="2"/>
            <w:tcBorders>
              <w:top w:val="single" w:sz="8" w:space="0" w:color="AEAEAE"/>
              <w:left w:val="nil"/>
              <w:bottom w:val="single" w:sz="8" w:space="0" w:color="152935"/>
              <w:right w:val="nil"/>
              <w:tl2br w:val="nil"/>
              <w:tr2bl w:val="nil"/>
            </w:tcBorders>
            <w:shd w:val="clear" w:color="auto" w:fill="E0E0E0"/>
          </w:tcPr>
          <w:p w14:paraId="768EDD0E" w14:textId="77777777" w:rsidR="008775EB" w:rsidRPr="004B27B7" w:rsidRDefault="00000000" w:rsidP="005203B6">
            <w:pPr>
              <w:spacing w:line="240" w:lineRule="auto"/>
              <w:ind w:left="60" w:right="60"/>
              <w:jc w:val="both"/>
              <w:rPr>
                <w:rFonts w:ascii="Times New Roman" w:hAnsi="Times New Roman" w:cs="Times New Roman"/>
                <w:color w:val="264A60"/>
              </w:rPr>
            </w:pPr>
            <w:r w:rsidRPr="004B27B7">
              <w:rPr>
                <w:rFonts w:ascii="Times New Roman" w:hAnsi="Times New Roman" w:cs="Times New Roman"/>
                <w:color w:val="264A60"/>
              </w:rPr>
              <w:t>Asymp. Sig. (2-tailed)</w:t>
            </w:r>
          </w:p>
        </w:tc>
        <w:tc>
          <w:tcPr>
            <w:tcW w:w="4600" w:type="dxa"/>
            <w:tcBorders>
              <w:top w:val="single" w:sz="8" w:space="0" w:color="AEAEAE"/>
              <w:left w:val="nil"/>
              <w:bottom w:val="single" w:sz="8" w:space="0" w:color="152935"/>
              <w:right w:val="nil"/>
              <w:tl2br w:val="nil"/>
              <w:tr2bl w:val="nil"/>
            </w:tcBorders>
            <w:shd w:val="clear" w:color="auto" w:fill="FFFFFF"/>
          </w:tcPr>
          <w:p w14:paraId="61C34A16" w14:textId="77777777" w:rsidR="008775EB" w:rsidRPr="004B27B7" w:rsidRDefault="00000000" w:rsidP="005203B6">
            <w:pPr>
              <w:spacing w:line="240" w:lineRule="auto"/>
              <w:ind w:left="60" w:right="60"/>
              <w:jc w:val="right"/>
              <w:rPr>
                <w:rFonts w:ascii="Times New Roman" w:hAnsi="Times New Roman" w:cs="Times New Roman"/>
                <w:color w:val="010205"/>
              </w:rPr>
            </w:pPr>
            <w:r w:rsidRPr="004B27B7">
              <w:rPr>
                <w:rFonts w:ascii="Times New Roman" w:hAnsi="Times New Roman" w:cs="Times New Roman"/>
                <w:color w:val="010205"/>
              </w:rPr>
              <w:t>,000</w:t>
            </w:r>
            <w:r w:rsidRPr="004B27B7">
              <w:rPr>
                <w:rFonts w:ascii="Times New Roman" w:hAnsi="Times New Roman" w:cs="Times New Roman"/>
                <w:color w:val="010205"/>
                <w:vertAlign w:val="superscript"/>
              </w:rPr>
              <w:t>c</w:t>
            </w:r>
          </w:p>
        </w:tc>
      </w:tr>
      <w:tr w:rsidR="008775EB" w:rsidRPr="004B27B7" w14:paraId="357CC58E" w14:textId="77777777">
        <w:trPr>
          <w:cantSplit/>
        </w:trPr>
        <w:tc>
          <w:tcPr>
            <w:tcW w:w="9159" w:type="dxa"/>
            <w:gridSpan w:val="3"/>
            <w:tcBorders>
              <w:top w:val="nil"/>
              <w:left w:val="nil"/>
              <w:bottom w:val="nil"/>
              <w:right w:val="nil"/>
              <w:tl2br w:val="nil"/>
              <w:tr2bl w:val="nil"/>
            </w:tcBorders>
            <w:shd w:val="clear" w:color="auto" w:fill="FFFFFF"/>
          </w:tcPr>
          <w:p w14:paraId="7C2BC04A" w14:textId="77777777" w:rsidR="008775EB" w:rsidRPr="004B27B7" w:rsidRDefault="00000000" w:rsidP="005203B6">
            <w:pPr>
              <w:spacing w:line="240" w:lineRule="auto"/>
              <w:ind w:left="60" w:right="60"/>
              <w:jc w:val="both"/>
              <w:rPr>
                <w:rFonts w:ascii="Times New Roman" w:hAnsi="Times New Roman" w:cs="Times New Roman"/>
                <w:color w:val="010205"/>
              </w:rPr>
            </w:pPr>
            <w:r w:rsidRPr="004B27B7">
              <w:rPr>
                <w:rFonts w:ascii="Times New Roman" w:hAnsi="Times New Roman" w:cs="Times New Roman"/>
                <w:color w:val="010205"/>
              </w:rPr>
              <w:t>a. Test distribution is Normal.</w:t>
            </w:r>
          </w:p>
        </w:tc>
      </w:tr>
      <w:tr w:rsidR="008775EB" w:rsidRPr="004B27B7" w14:paraId="1AB4C09B" w14:textId="77777777">
        <w:trPr>
          <w:cantSplit/>
        </w:trPr>
        <w:tc>
          <w:tcPr>
            <w:tcW w:w="9159" w:type="dxa"/>
            <w:gridSpan w:val="3"/>
            <w:tcBorders>
              <w:top w:val="nil"/>
              <w:left w:val="nil"/>
              <w:bottom w:val="nil"/>
              <w:right w:val="nil"/>
              <w:tl2br w:val="nil"/>
              <w:tr2bl w:val="nil"/>
            </w:tcBorders>
            <w:shd w:val="clear" w:color="auto" w:fill="FFFFFF"/>
          </w:tcPr>
          <w:p w14:paraId="0EB39701" w14:textId="77777777" w:rsidR="008775EB" w:rsidRPr="004B27B7" w:rsidRDefault="00000000" w:rsidP="005203B6">
            <w:pPr>
              <w:spacing w:line="240" w:lineRule="auto"/>
              <w:ind w:left="60" w:right="60"/>
              <w:jc w:val="both"/>
              <w:rPr>
                <w:rFonts w:ascii="Times New Roman" w:hAnsi="Times New Roman" w:cs="Times New Roman"/>
                <w:color w:val="010205"/>
              </w:rPr>
            </w:pPr>
            <w:r w:rsidRPr="004B27B7">
              <w:rPr>
                <w:rFonts w:ascii="Times New Roman" w:hAnsi="Times New Roman" w:cs="Times New Roman"/>
                <w:color w:val="010205"/>
              </w:rPr>
              <w:t>b. Calculated from data.</w:t>
            </w:r>
          </w:p>
        </w:tc>
      </w:tr>
      <w:tr w:rsidR="008775EB" w:rsidRPr="004B27B7" w14:paraId="77D13583" w14:textId="77777777">
        <w:trPr>
          <w:cantSplit/>
        </w:trPr>
        <w:tc>
          <w:tcPr>
            <w:tcW w:w="9159" w:type="dxa"/>
            <w:gridSpan w:val="3"/>
            <w:tcBorders>
              <w:top w:val="nil"/>
              <w:left w:val="nil"/>
              <w:bottom w:val="nil"/>
              <w:right w:val="nil"/>
              <w:tl2br w:val="nil"/>
              <w:tr2bl w:val="nil"/>
            </w:tcBorders>
            <w:shd w:val="clear" w:color="auto" w:fill="FFFFFF"/>
          </w:tcPr>
          <w:p w14:paraId="234DB97A" w14:textId="77777777" w:rsidR="008775EB" w:rsidRPr="004B27B7" w:rsidRDefault="00000000" w:rsidP="005203B6">
            <w:pPr>
              <w:spacing w:line="240" w:lineRule="auto"/>
              <w:ind w:left="60" w:right="60"/>
              <w:jc w:val="both"/>
              <w:rPr>
                <w:rFonts w:ascii="Times New Roman" w:hAnsi="Times New Roman" w:cs="Times New Roman"/>
                <w:color w:val="010205"/>
              </w:rPr>
            </w:pPr>
            <w:r w:rsidRPr="004B27B7">
              <w:rPr>
                <w:rFonts w:ascii="Times New Roman" w:hAnsi="Times New Roman" w:cs="Times New Roman"/>
                <w:color w:val="010205"/>
              </w:rPr>
              <w:t>c. Lilliefors Significance Correction.</w:t>
            </w:r>
          </w:p>
        </w:tc>
      </w:tr>
    </w:tbl>
    <w:p w14:paraId="2FFEEBA3" w14:textId="77777777" w:rsidR="008775EB" w:rsidRPr="004B27B7" w:rsidRDefault="00000000" w:rsidP="004B27B7">
      <w:pPr>
        <w:spacing w:after="0" w:line="360" w:lineRule="auto"/>
        <w:jc w:val="both"/>
        <w:rPr>
          <w:rFonts w:ascii="Times New Roman" w:eastAsia="SimSun" w:hAnsi="Times New Roman" w:cs="Times New Roman"/>
          <w:sz w:val="24"/>
          <w:szCs w:val="24"/>
          <w:lang w:eastAsia="id-ID"/>
        </w:rPr>
      </w:pPr>
      <w:r w:rsidRPr="004B27B7">
        <w:rPr>
          <w:rFonts w:ascii="Times New Roman" w:hAnsi="Times New Roman" w:cs="Times New Roman"/>
          <w:i/>
          <w:iCs/>
          <w:sz w:val="24"/>
          <w:szCs w:val="24"/>
        </w:rPr>
        <w:t>Sumber: Output SPSS 26, Data sekunder telah diolah</w:t>
      </w:r>
    </w:p>
    <w:p w14:paraId="61A2883B" w14:textId="541B841A" w:rsidR="008775EB" w:rsidRPr="004B27B7" w:rsidRDefault="00000000" w:rsidP="004B27B7">
      <w:pPr>
        <w:spacing w:after="0" w:line="360" w:lineRule="auto"/>
        <w:ind w:firstLine="720"/>
        <w:jc w:val="both"/>
        <w:rPr>
          <w:rFonts w:ascii="Times New Roman" w:hAnsi="Times New Roman" w:cs="Times New Roman"/>
          <w:sz w:val="24"/>
          <w:szCs w:val="24"/>
        </w:rPr>
      </w:pPr>
      <w:r w:rsidRPr="004B27B7">
        <w:rPr>
          <w:rFonts w:ascii="Times New Roman" w:eastAsia="SimSun" w:hAnsi="Times New Roman" w:cs="Times New Roman"/>
          <w:sz w:val="24"/>
          <w:szCs w:val="24"/>
          <w:lang w:eastAsia="id-ID"/>
        </w:rPr>
        <w:t xml:space="preserve">Berdasarkan hasil </w:t>
      </w:r>
      <w:r w:rsidRPr="004B27B7">
        <w:rPr>
          <w:rFonts w:ascii="Times New Roman" w:hAnsi="Times New Roman" w:cs="Times New Roman"/>
          <w:i/>
          <w:iCs/>
          <w:sz w:val="24"/>
          <w:szCs w:val="24"/>
        </w:rPr>
        <w:t>One-Sample Kolmogorov-Smirnov Test</w:t>
      </w:r>
      <w:r w:rsidRPr="004B27B7">
        <w:rPr>
          <w:rFonts w:ascii="Times New Roman" w:hAnsi="Times New Roman" w:cs="Times New Roman"/>
          <w:sz w:val="24"/>
          <w:szCs w:val="24"/>
        </w:rPr>
        <w:t xml:space="preserve"> diatas nilai residual menunjukan </w:t>
      </w:r>
      <w:r w:rsidRPr="004B27B7">
        <w:rPr>
          <w:rFonts w:ascii="Times New Roman" w:hAnsi="Times New Roman" w:cs="Times New Roman"/>
          <w:i/>
          <w:iCs/>
          <w:sz w:val="24"/>
          <w:szCs w:val="24"/>
        </w:rPr>
        <w:t>Asymp. Sig. (2-tailed)</w:t>
      </w:r>
      <w:r w:rsidRPr="004B27B7">
        <w:rPr>
          <w:rFonts w:ascii="Times New Roman" w:hAnsi="Times New Roman" w:cs="Times New Roman"/>
          <w:sz w:val="24"/>
          <w:szCs w:val="24"/>
        </w:rPr>
        <w:t xml:space="preserve"> sebesar 0,000. Nilai tingkat signifikansi umum yaitu 0,05, yang </w:t>
      </w:r>
      <w:r w:rsidR="0055193F">
        <w:rPr>
          <w:rFonts w:ascii="Times New Roman" w:hAnsi="Times New Roman" w:cs="Times New Roman"/>
          <w:sz w:val="24"/>
          <w:szCs w:val="24"/>
        </w:rPr>
        <w:t>menunjukan</w:t>
      </w:r>
      <w:r w:rsidRPr="004B27B7">
        <w:rPr>
          <w:rFonts w:ascii="Times New Roman" w:hAnsi="Times New Roman" w:cs="Times New Roman"/>
          <w:sz w:val="24"/>
          <w:szCs w:val="24"/>
        </w:rPr>
        <w:t xml:space="preserve"> bahwa data residual tidak berdistribusi normal dan perlu dilakukan </w:t>
      </w:r>
      <w:r w:rsidRPr="004B27B7">
        <w:rPr>
          <w:rFonts w:ascii="Times New Roman" w:hAnsi="Times New Roman" w:cs="Times New Roman"/>
          <w:i/>
          <w:iCs/>
          <w:sz w:val="24"/>
          <w:szCs w:val="24"/>
        </w:rPr>
        <w:t>outliers</w:t>
      </w:r>
      <w:r w:rsidR="00023063">
        <w:rPr>
          <w:rFonts w:ascii="Times New Roman" w:hAnsi="Times New Roman" w:cs="Times New Roman"/>
          <w:i/>
          <w:iCs/>
          <w:sz w:val="24"/>
          <w:szCs w:val="24"/>
        </w:rPr>
        <w:t>,</w:t>
      </w:r>
      <w:r w:rsidRPr="004B27B7">
        <w:rPr>
          <w:rFonts w:ascii="Times New Roman" w:hAnsi="Times New Roman" w:cs="Times New Roman"/>
          <w:sz w:val="24"/>
          <w:szCs w:val="24"/>
        </w:rPr>
        <w:t xml:space="preserve"> </w:t>
      </w:r>
      <w:r w:rsidR="0055193F">
        <w:rPr>
          <w:rFonts w:ascii="Times New Roman" w:hAnsi="Times New Roman" w:cs="Times New Roman"/>
          <w:sz w:val="24"/>
          <w:szCs w:val="24"/>
        </w:rPr>
        <w:t xml:space="preserve">untuk mendapatkan </w:t>
      </w:r>
      <w:r w:rsidRPr="004B27B7">
        <w:rPr>
          <w:rFonts w:ascii="Times New Roman" w:hAnsi="Times New Roman" w:cs="Times New Roman"/>
          <w:sz w:val="24"/>
          <w:szCs w:val="24"/>
        </w:rPr>
        <w:t>data berdistribusi normal.</w:t>
      </w:r>
    </w:p>
    <w:tbl>
      <w:tblPr>
        <w:tblW w:w="91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2444"/>
        <w:gridCol w:w="2101"/>
        <w:gridCol w:w="4625"/>
      </w:tblGrid>
      <w:tr w:rsidR="008775EB" w:rsidRPr="004B27B7" w14:paraId="4C1AA362" w14:textId="77777777">
        <w:trPr>
          <w:cantSplit/>
        </w:trPr>
        <w:tc>
          <w:tcPr>
            <w:tcW w:w="9170" w:type="dxa"/>
            <w:gridSpan w:val="3"/>
            <w:tcBorders>
              <w:top w:val="nil"/>
              <w:left w:val="nil"/>
              <w:bottom w:val="nil"/>
              <w:right w:val="nil"/>
              <w:tl2br w:val="nil"/>
              <w:tr2bl w:val="nil"/>
            </w:tcBorders>
            <w:shd w:val="clear" w:color="auto" w:fill="FFFFFF"/>
            <w:vAlign w:val="center"/>
          </w:tcPr>
          <w:p w14:paraId="33512C3B" w14:textId="77777777" w:rsidR="008775EB" w:rsidRPr="004B27B7" w:rsidRDefault="00000000" w:rsidP="005203B6">
            <w:pPr>
              <w:spacing w:line="240" w:lineRule="auto"/>
              <w:ind w:left="60" w:right="60"/>
              <w:jc w:val="center"/>
              <w:rPr>
                <w:rFonts w:ascii="Times New Roman" w:hAnsi="Times New Roman" w:cs="Times New Roman"/>
                <w:color w:val="010205"/>
              </w:rPr>
            </w:pPr>
            <w:r w:rsidRPr="004B27B7">
              <w:rPr>
                <w:rFonts w:ascii="Times New Roman" w:hAnsi="Times New Roman" w:cs="Times New Roman"/>
                <w:b/>
                <w:color w:val="010205"/>
              </w:rPr>
              <w:lastRenderedPageBreak/>
              <w:t>One-Sample Kolmogorov-Smirnov Test</w:t>
            </w:r>
          </w:p>
        </w:tc>
      </w:tr>
      <w:tr w:rsidR="008775EB" w:rsidRPr="004B27B7" w14:paraId="0F69F335" w14:textId="77777777">
        <w:trPr>
          <w:cantSplit/>
        </w:trPr>
        <w:tc>
          <w:tcPr>
            <w:tcW w:w="4545" w:type="dxa"/>
            <w:gridSpan w:val="2"/>
            <w:tcBorders>
              <w:top w:val="nil"/>
              <w:left w:val="nil"/>
              <w:bottom w:val="single" w:sz="8" w:space="0" w:color="152935"/>
              <w:right w:val="nil"/>
              <w:tl2br w:val="nil"/>
              <w:tr2bl w:val="nil"/>
            </w:tcBorders>
            <w:shd w:val="clear" w:color="auto" w:fill="FFFFFF"/>
            <w:vAlign w:val="bottom"/>
          </w:tcPr>
          <w:p w14:paraId="34FAB92C" w14:textId="77777777" w:rsidR="008775EB" w:rsidRPr="004B27B7" w:rsidRDefault="008775EB" w:rsidP="005203B6">
            <w:pPr>
              <w:spacing w:line="240" w:lineRule="auto"/>
              <w:rPr>
                <w:rFonts w:ascii="Times New Roman" w:hAnsi="Times New Roman" w:cs="Times New Roman"/>
              </w:rPr>
            </w:pPr>
          </w:p>
        </w:tc>
        <w:tc>
          <w:tcPr>
            <w:tcW w:w="4625" w:type="dxa"/>
            <w:tcBorders>
              <w:top w:val="nil"/>
              <w:left w:val="nil"/>
              <w:bottom w:val="single" w:sz="8" w:space="0" w:color="152935"/>
              <w:right w:val="nil"/>
              <w:tl2br w:val="nil"/>
              <w:tr2bl w:val="nil"/>
            </w:tcBorders>
            <w:shd w:val="clear" w:color="auto" w:fill="FFFFFF"/>
            <w:vAlign w:val="bottom"/>
          </w:tcPr>
          <w:p w14:paraId="119EAD45" w14:textId="77777777" w:rsidR="008775EB" w:rsidRPr="004B27B7" w:rsidRDefault="00000000" w:rsidP="005203B6">
            <w:pPr>
              <w:spacing w:line="240" w:lineRule="auto"/>
              <w:ind w:left="60" w:right="60"/>
              <w:jc w:val="center"/>
              <w:rPr>
                <w:rFonts w:ascii="Times New Roman" w:hAnsi="Times New Roman" w:cs="Times New Roman"/>
                <w:color w:val="264A60"/>
              </w:rPr>
            </w:pPr>
            <w:r w:rsidRPr="004B27B7">
              <w:rPr>
                <w:rFonts w:ascii="Times New Roman" w:hAnsi="Times New Roman" w:cs="Times New Roman"/>
                <w:color w:val="264A60"/>
              </w:rPr>
              <w:t>Unstandardized Residual</w:t>
            </w:r>
          </w:p>
        </w:tc>
      </w:tr>
      <w:tr w:rsidR="008775EB" w:rsidRPr="004B27B7" w14:paraId="1DE1BFD8" w14:textId="77777777">
        <w:trPr>
          <w:cantSplit/>
        </w:trPr>
        <w:tc>
          <w:tcPr>
            <w:tcW w:w="4545" w:type="dxa"/>
            <w:gridSpan w:val="2"/>
            <w:tcBorders>
              <w:top w:val="single" w:sz="8" w:space="0" w:color="152935"/>
              <w:left w:val="nil"/>
              <w:bottom w:val="single" w:sz="8" w:space="0" w:color="AEAEAE"/>
              <w:right w:val="nil"/>
              <w:tl2br w:val="nil"/>
              <w:tr2bl w:val="nil"/>
            </w:tcBorders>
            <w:shd w:val="clear" w:color="auto" w:fill="E0E0E0"/>
          </w:tcPr>
          <w:p w14:paraId="6EA3E223" w14:textId="77777777" w:rsidR="008775EB" w:rsidRPr="004B27B7" w:rsidRDefault="00000000" w:rsidP="005203B6">
            <w:pPr>
              <w:spacing w:line="240" w:lineRule="auto"/>
              <w:ind w:left="60" w:right="60"/>
              <w:rPr>
                <w:rFonts w:ascii="Times New Roman" w:hAnsi="Times New Roman" w:cs="Times New Roman"/>
                <w:color w:val="264A60"/>
              </w:rPr>
            </w:pPr>
            <w:r w:rsidRPr="004B27B7">
              <w:rPr>
                <w:rFonts w:ascii="Times New Roman" w:hAnsi="Times New Roman" w:cs="Times New Roman"/>
                <w:color w:val="264A60"/>
              </w:rPr>
              <w:t>N</w:t>
            </w:r>
          </w:p>
        </w:tc>
        <w:tc>
          <w:tcPr>
            <w:tcW w:w="4625" w:type="dxa"/>
            <w:tcBorders>
              <w:top w:val="single" w:sz="8" w:space="0" w:color="152935"/>
              <w:left w:val="nil"/>
              <w:bottom w:val="single" w:sz="8" w:space="0" w:color="AEAEAE"/>
              <w:right w:val="nil"/>
              <w:tl2br w:val="nil"/>
              <w:tr2bl w:val="nil"/>
            </w:tcBorders>
            <w:shd w:val="clear" w:color="auto" w:fill="FFFFFF"/>
          </w:tcPr>
          <w:p w14:paraId="20274729" w14:textId="77777777" w:rsidR="008775EB" w:rsidRPr="004B27B7" w:rsidRDefault="00000000" w:rsidP="005203B6">
            <w:pPr>
              <w:spacing w:line="240" w:lineRule="auto"/>
              <w:ind w:left="60" w:right="60"/>
              <w:jc w:val="right"/>
              <w:rPr>
                <w:rFonts w:ascii="Times New Roman" w:hAnsi="Times New Roman" w:cs="Times New Roman"/>
                <w:color w:val="010205"/>
              </w:rPr>
            </w:pPr>
            <w:r w:rsidRPr="004B27B7">
              <w:rPr>
                <w:rFonts w:ascii="Times New Roman" w:hAnsi="Times New Roman" w:cs="Times New Roman"/>
                <w:color w:val="010205"/>
              </w:rPr>
              <w:t>61</w:t>
            </w:r>
          </w:p>
        </w:tc>
      </w:tr>
      <w:tr w:rsidR="008775EB" w:rsidRPr="004B27B7" w14:paraId="28687859" w14:textId="77777777">
        <w:trPr>
          <w:cantSplit/>
        </w:trPr>
        <w:tc>
          <w:tcPr>
            <w:tcW w:w="2444" w:type="dxa"/>
            <w:vMerge w:val="restart"/>
            <w:tcBorders>
              <w:top w:val="single" w:sz="8" w:space="0" w:color="AEAEAE"/>
              <w:left w:val="nil"/>
              <w:bottom w:val="single" w:sz="8" w:space="0" w:color="AEAEAE"/>
              <w:right w:val="nil"/>
              <w:tl2br w:val="nil"/>
              <w:tr2bl w:val="nil"/>
            </w:tcBorders>
            <w:shd w:val="clear" w:color="auto" w:fill="E0E0E0"/>
          </w:tcPr>
          <w:p w14:paraId="78899409" w14:textId="77777777" w:rsidR="008775EB" w:rsidRPr="004B27B7" w:rsidRDefault="00000000" w:rsidP="005203B6">
            <w:pPr>
              <w:spacing w:line="240" w:lineRule="auto"/>
              <w:ind w:left="60" w:right="60"/>
              <w:rPr>
                <w:rFonts w:ascii="Times New Roman" w:hAnsi="Times New Roman" w:cs="Times New Roman"/>
                <w:color w:val="264A60"/>
              </w:rPr>
            </w:pPr>
            <w:r w:rsidRPr="004B27B7">
              <w:rPr>
                <w:rFonts w:ascii="Times New Roman" w:hAnsi="Times New Roman" w:cs="Times New Roman"/>
                <w:color w:val="264A60"/>
              </w:rPr>
              <w:t>Normal Parameters</w:t>
            </w:r>
            <w:r w:rsidRPr="004B27B7">
              <w:rPr>
                <w:rFonts w:ascii="Times New Roman" w:hAnsi="Times New Roman" w:cs="Times New Roman"/>
                <w:color w:val="264A60"/>
                <w:vertAlign w:val="superscript"/>
              </w:rPr>
              <w:t>a,b</w:t>
            </w:r>
          </w:p>
        </w:tc>
        <w:tc>
          <w:tcPr>
            <w:tcW w:w="2101" w:type="dxa"/>
            <w:tcBorders>
              <w:top w:val="single" w:sz="8" w:space="0" w:color="AEAEAE"/>
              <w:left w:val="nil"/>
              <w:bottom w:val="single" w:sz="8" w:space="0" w:color="AEAEAE"/>
              <w:right w:val="nil"/>
              <w:tl2br w:val="nil"/>
              <w:tr2bl w:val="nil"/>
            </w:tcBorders>
            <w:shd w:val="clear" w:color="auto" w:fill="E0E0E0"/>
          </w:tcPr>
          <w:p w14:paraId="510123EA" w14:textId="77777777" w:rsidR="008775EB" w:rsidRPr="004B27B7" w:rsidRDefault="00000000" w:rsidP="005203B6">
            <w:pPr>
              <w:spacing w:line="240" w:lineRule="auto"/>
              <w:ind w:left="60" w:right="60"/>
              <w:rPr>
                <w:rFonts w:ascii="Times New Roman" w:hAnsi="Times New Roman" w:cs="Times New Roman"/>
                <w:color w:val="264A60"/>
              </w:rPr>
            </w:pPr>
            <w:r w:rsidRPr="004B27B7">
              <w:rPr>
                <w:rFonts w:ascii="Times New Roman" w:hAnsi="Times New Roman" w:cs="Times New Roman"/>
                <w:color w:val="264A60"/>
              </w:rPr>
              <w:t>Mean</w:t>
            </w:r>
          </w:p>
        </w:tc>
        <w:tc>
          <w:tcPr>
            <w:tcW w:w="4625" w:type="dxa"/>
            <w:tcBorders>
              <w:top w:val="single" w:sz="8" w:space="0" w:color="AEAEAE"/>
              <w:left w:val="nil"/>
              <w:bottom w:val="single" w:sz="8" w:space="0" w:color="AEAEAE"/>
              <w:right w:val="nil"/>
              <w:tl2br w:val="nil"/>
              <w:tr2bl w:val="nil"/>
            </w:tcBorders>
            <w:shd w:val="clear" w:color="auto" w:fill="FFFFFF"/>
          </w:tcPr>
          <w:p w14:paraId="33CBB195" w14:textId="77777777" w:rsidR="008775EB" w:rsidRPr="004B27B7" w:rsidRDefault="00000000" w:rsidP="005203B6">
            <w:pPr>
              <w:spacing w:line="240" w:lineRule="auto"/>
              <w:ind w:left="60" w:right="60"/>
              <w:jc w:val="right"/>
              <w:rPr>
                <w:rFonts w:ascii="Times New Roman" w:hAnsi="Times New Roman" w:cs="Times New Roman"/>
                <w:color w:val="010205"/>
              </w:rPr>
            </w:pPr>
            <w:r w:rsidRPr="004B27B7">
              <w:rPr>
                <w:rFonts w:ascii="Times New Roman" w:hAnsi="Times New Roman" w:cs="Times New Roman"/>
                <w:color w:val="010205"/>
              </w:rPr>
              <w:t>,0000000</w:t>
            </w:r>
          </w:p>
        </w:tc>
      </w:tr>
      <w:tr w:rsidR="008775EB" w:rsidRPr="004B27B7" w14:paraId="5A1D0940" w14:textId="77777777">
        <w:trPr>
          <w:cantSplit/>
        </w:trPr>
        <w:tc>
          <w:tcPr>
            <w:tcW w:w="2444" w:type="dxa"/>
            <w:vMerge/>
            <w:tcBorders>
              <w:top w:val="single" w:sz="8" w:space="0" w:color="AEAEAE"/>
              <w:left w:val="nil"/>
              <w:bottom w:val="single" w:sz="8" w:space="0" w:color="AEAEAE"/>
              <w:right w:val="nil"/>
              <w:tl2br w:val="nil"/>
              <w:tr2bl w:val="nil"/>
            </w:tcBorders>
            <w:shd w:val="clear" w:color="auto" w:fill="E0E0E0"/>
          </w:tcPr>
          <w:p w14:paraId="4ADDB24B" w14:textId="77777777" w:rsidR="008775EB" w:rsidRPr="004B27B7" w:rsidRDefault="008775EB" w:rsidP="005203B6">
            <w:pPr>
              <w:spacing w:line="240" w:lineRule="auto"/>
              <w:rPr>
                <w:rFonts w:ascii="Times New Roman" w:hAnsi="Times New Roman" w:cs="Times New Roman"/>
                <w:color w:val="010205"/>
              </w:rPr>
            </w:pPr>
          </w:p>
        </w:tc>
        <w:tc>
          <w:tcPr>
            <w:tcW w:w="2101" w:type="dxa"/>
            <w:tcBorders>
              <w:top w:val="single" w:sz="8" w:space="0" w:color="AEAEAE"/>
              <w:left w:val="nil"/>
              <w:bottom w:val="single" w:sz="8" w:space="0" w:color="AEAEAE"/>
              <w:right w:val="nil"/>
              <w:tl2br w:val="nil"/>
              <w:tr2bl w:val="nil"/>
            </w:tcBorders>
            <w:shd w:val="clear" w:color="auto" w:fill="E0E0E0"/>
          </w:tcPr>
          <w:p w14:paraId="360DB76C" w14:textId="77777777" w:rsidR="008775EB" w:rsidRPr="004B27B7" w:rsidRDefault="00000000" w:rsidP="005203B6">
            <w:pPr>
              <w:spacing w:line="240" w:lineRule="auto"/>
              <w:ind w:left="60" w:right="60"/>
              <w:rPr>
                <w:rFonts w:ascii="Times New Roman" w:hAnsi="Times New Roman" w:cs="Times New Roman"/>
                <w:color w:val="264A60"/>
              </w:rPr>
            </w:pPr>
            <w:r w:rsidRPr="004B27B7">
              <w:rPr>
                <w:rFonts w:ascii="Times New Roman" w:hAnsi="Times New Roman" w:cs="Times New Roman"/>
                <w:color w:val="264A60"/>
              </w:rPr>
              <w:t>Std. Deviation</w:t>
            </w:r>
          </w:p>
        </w:tc>
        <w:tc>
          <w:tcPr>
            <w:tcW w:w="4625" w:type="dxa"/>
            <w:tcBorders>
              <w:top w:val="single" w:sz="8" w:space="0" w:color="AEAEAE"/>
              <w:left w:val="nil"/>
              <w:bottom w:val="single" w:sz="8" w:space="0" w:color="AEAEAE"/>
              <w:right w:val="nil"/>
              <w:tl2br w:val="nil"/>
              <w:tr2bl w:val="nil"/>
            </w:tcBorders>
            <w:shd w:val="clear" w:color="auto" w:fill="FFFFFF"/>
          </w:tcPr>
          <w:p w14:paraId="47426B59" w14:textId="77777777" w:rsidR="008775EB" w:rsidRPr="004B27B7" w:rsidRDefault="00000000" w:rsidP="005203B6">
            <w:pPr>
              <w:spacing w:line="240" w:lineRule="auto"/>
              <w:ind w:left="60" w:right="60"/>
              <w:jc w:val="right"/>
              <w:rPr>
                <w:rFonts w:ascii="Times New Roman" w:hAnsi="Times New Roman" w:cs="Times New Roman"/>
                <w:color w:val="010205"/>
              </w:rPr>
            </w:pPr>
            <w:r w:rsidRPr="004B27B7">
              <w:rPr>
                <w:rFonts w:ascii="Times New Roman" w:hAnsi="Times New Roman" w:cs="Times New Roman"/>
                <w:color w:val="010205"/>
              </w:rPr>
              <w:t>,99552874</w:t>
            </w:r>
          </w:p>
        </w:tc>
      </w:tr>
      <w:tr w:rsidR="008775EB" w:rsidRPr="004B27B7" w14:paraId="7305EF77" w14:textId="77777777">
        <w:trPr>
          <w:cantSplit/>
        </w:trPr>
        <w:tc>
          <w:tcPr>
            <w:tcW w:w="2444" w:type="dxa"/>
            <w:vMerge w:val="restart"/>
            <w:tcBorders>
              <w:top w:val="single" w:sz="8" w:space="0" w:color="AEAEAE"/>
              <w:left w:val="nil"/>
              <w:bottom w:val="single" w:sz="8" w:space="0" w:color="AEAEAE"/>
              <w:right w:val="nil"/>
              <w:tl2br w:val="nil"/>
              <w:tr2bl w:val="nil"/>
            </w:tcBorders>
            <w:shd w:val="clear" w:color="auto" w:fill="E0E0E0"/>
          </w:tcPr>
          <w:p w14:paraId="26F8C6E0" w14:textId="77777777" w:rsidR="008775EB" w:rsidRPr="004B27B7" w:rsidRDefault="00000000" w:rsidP="005203B6">
            <w:pPr>
              <w:spacing w:line="240" w:lineRule="auto"/>
              <w:ind w:left="60" w:right="60"/>
              <w:rPr>
                <w:rFonts w:ascii="Times New Roman" w:hAnsi="Times New Roman" w:cs="Times New Roman"/>
                <w:color w:val="264A60"/>
              </w:rPr>
            </w:pPr>
            <w:r w:rsidRPr="004B27B7">
              <w:rPr>
                <w:rFonts w:ascii="Times New Roman" w:hAnsi="Times New Roman" w:cs="Times New Roman"/>
                <w:color w:val="264A60"/>
              </w:rPr>
              <w:t>Most Extreme Differences</w:t>
            </w:r>
          </w:p>
        </w:tc>
        <w:tc>
          <w:tcPr>
            <w:tcW w:w="2101" w:type="dxa"/>
            <w:tcBorders>
              <w:top w:val="single" w:sz="8" w:space="0" w:color="AEAEAE"/>
              <w:left w:val="nil"/>
              <w:bottom w:val="single" w:sz="8" w:space="0" w:color="AEAEAE"/>
              <w:right w:val="nil"/>
              <w:tl2br w:val="nil"/>
              <w:tr2bl w:val="nil"/>
            </w:tcBorders>
            <w:shd w:val="clear" w:color="auto" w:fill="E0E0E0"/>
          </w:tcPr>
          <w:p w14:paraId="30F2450F" w14:textId="77777777" w:rsidR="008775EB" w:rsidRPr="004B27B7" w:rsidRDefault="00000000" w:rsidP="005203B6">
            <w:pPr>
              <w:spacing w:line="240" w:lineRule="auto"/>
              <w:ind w:left="60" w:right="60"/>
              <w:rPr>
                <w:rFonts w:ascii="Times New Roman" w:hAnsi="Times New Roman" w:cs="Times New Roman"/>
                <w:color w:val="264A60"/>
              </w:rPr>
            </w:pPr>
            <w:r w:rsidRPr="004B27B7">
              <w:rPr>
                <w:rFonts w:ascii="Times New Roman" w:hAnsi="Times New Roman" w:cs="Times New Roman"/>
                <w:color w:val="264A60"/>
              </w:rPr>
              <w:t>Absolute</w:t>
            </w:r>
          </w:p>
        </w:tc>
        <w:tc>
          <w:tcPr>
            <w:tcW w:w="4625" w:type="dxa"/>
            <w:tcBorders>
              <w:top w:val="single" w:sz="8" w:space="0" w:color="AEAEAE"/>
              <w:left w:val="nil"/>
              <w:bottom w:val="single" w:sz="8" w:space="0" w:color="AEAEAE"/>
              <w:right w:val="nil"/>
              <w:tl2br w:val="nil"/>
              <w:tr2bl w:val="nil"/>
            </w:tcBorders>
            <w:shd w:val="clear" w:color="auto" w:fill="FFFFFF"/>
          </w:tcPr>
          <w:p w14:paraId="59502771" w14:textId="77777777" w:rsidR="008775EB" w:rsidRPr="004B27B7" w:rsidRDefault="00000000" w:rsidP="005203B6">
            <w:pPr>
              <w:spacing w:line="240" w:lineRule="auto"/>
              <w:ind w:left="60" w:right="60"/>
              <w:jc w:val="right"/>
              <w:rPr>
                <w:rFonts w:ascii="Times New Roman" w:hAnsi="Times New Roman" w:cs="Times New Roman"/>
                <w:color w:val="010205"/>
              </w:rPr>
            </w:pPr>
            <w:r w:rsidRPr="004B27B7">
              <w:rPr>
                <w:rFonts w:ascii="Times New Roman" w:hAnsi="Times New Roman" w:cs="Times New Roman"/>
                <w:color w:val="010205"/>
              </w:rPr>
              <w:t>,072</w:t>
            </w:r>
          </w:p>
        </w:tc>
      </w:tr>
      <w:tr w:rsidR="008775EB" w:rsidRPr="004B27B7" w14:paraId="2305EEF6" w14:textId="77777777">
        <w:trPr>
          <w:cantSplit/>
        </w:trPr>
        <w:tc>
          <w:tcPr>
            <w:tcW w:w="2444" w:type="dxa"/>
            <w:vMerge/>
            <w:tcBorders>
              <w:top w:val="single" w:sz="8" w:space="0" w:color="AEAEAE"/>
              <w:left w:val="nil"/>
              <w:bottom w:val="single" w:sz="8" w:space="0" w:color="AEAEAE"/>
              <w:right w:val="nil"/>
              <w:tl2br w:val="nil"/>
              <w:tr2bl w:val="nil"/>
            </w:tcBorders>
            <w:shd w:val="clear" w:color="auto" w:fill="E0E0E0"/>
          </w:tcPr>
          <w:p w14:paraId="45C0AB21" w14:textId="77777777" w:rsidR="008775EB" w:rsidRPr="004B27B7" w:rsidRDefault="008775EB" w:rsidP="005203B6">
            <w:pPr>
              <w:spacing w:line="240" w:lineRule="auto"/>
              <w:rPr>
                <w:rFonts w:ascii="Times New Roman" w:hAnsi="Times New Roman" w:cs="Times New Roman"/>
                <w:color w:val="010205"/>
              </w:rPr>
            </w:pPr>
          </w:p>
        </w:tc>
        <w:tc>
          <w:tcPr>
            <w:tcW w:w="2101" w:type="dxa"/>
            <w:tcBorders>
              <w:top w:val="single" w:sz="8" w:space="0" w:color="AEAEAE"/>
              <w:left w:val="nil"/>
              <w:bottom w:val="single" w:sz="8" w:space="0" w:color="AEAEAE"/>
              <w:right w:val="nil"/>
              <w:tl2br w:val="nil"/>
              <w:tr2bl w:val="nil"/>
            </w:tcBorders>
            <w:shd w:val="clear" w:color="auto" w:fill="E0E0E0"/>
          </w:tcPr>
          <w:p w14:paraId="0B71F76B" w14:textId="77777777" w:rsidR="008775EB" w:rsidRPr="004B27B7" w:rsidRDefault="00000000" w:rsidP="005203B6">
            <w:pPr>
              <w:spacing w:line="240" w:lineRule="auto"/>
              <w:ind w:left="60" w:right="60"/>
              <w:rPr>
                <w:rFonts w:ascii="Times New Roman" w:hAnsi="Times New Roman" w:cs="Times New Roman"/>
                <w:color w:val="264A60"/>
              </w:rPr>
            </w:pPr>
            <w:r w:rsidRPr="004B27B7">
              <w:rPr>
                <w:rFonts w:ascii="Times New Roman" w:hAnsi="Times New Roman" w:cs="Times New Roman"/>
                <w:color w:val="264A60"/>
              </w:rPr>
              <w:t>Positive</w:t>
            </w:r>
          </w:p>
        </w:tc>
        <w:tc>
          <w:tcPr>
            <w:tcW w:w="4625" w:type="dxa"/>
            <w:tcBorders>
              <w:top w:val="single" w:sz="8" w:space="0" w:color="AEAEAE"/>
              <w:left w:val="nil"/>
              <w:bottom w:val="single" w:sz="8" w:space="0" w:color="AEAEAE"/>
              <w:right w:val="nil"/>
              <w:tl2br w:val="nil"/>
              <w:tr2bl w:val="nil"/>
            </w:tcBorders>
            <w:shd w:val="clear" w:color="auto" w:fill="FFFFFF"/>
          </w:tcPr>
          <w:p w14:paraId="2E2D82F6" w14:textId="77777777" w:rsidR="008775EB" w:rsidRPr="004B27B7" w:rsidRDefault="00000000" w:rsidP="005203B6">
            <w:pPr>
              <w:spacing w:line="240" w:lineRule="auto"/>
              <w:ind w:left="60" w:right="60"/>
              <w:jc w:val="right"/>
              <w:rPr>
                <w:rFonts w:ascii="Times New Roman" w:hAnsi="Times New Roman" w:cs="Times New Roman"/>
                <w:color w:val="010205"/>
              </w:rPr>
            </w:pPr>
            <w:r w:rsidRPr="004B27B7">
              <w:rPr>
                <w:rFonts w:ascii="Times New Roman" w:hAnsi="Times New Roman" w:cs="Times New Roman"/>
                <w:color w:val="010205"/>
              </w:rPr>
              <w:t>,072</w:t>
            </w:r>
          </w:p>
        </w:tc>
      </w:tr>
      <w:tr w:rsidR="008775EB" w:rsidRPr="004B27B7" w14:paraId="0E8150E7" w14:textId="77777777">
        <w:trPr>
          <w:cantSplit/>
        </w:trPr>
        <w:tc>
          <w:tcPr>
            <w:tcW w:w="2444" w:type="dxa"/>
            <w:vMerge/>
            <w:tcBorders>
              <w:top w:val="single" w:sz="8" w:space="0" w:color="AEAEAE"/>
              <w:left w:val="nil"/>
              <w:bottom w:val="single" w:sz="8" w:space="0" w:color="AEAEAE"/>
              <w:right w:val="nil"/>
              <w:tl2br w:val="nil"/>
              <w:tr2bl w:val="nil"/>
            </w:tcBorders>
            <w:shd w:val="clear" w:color="auto" w:fill="E0E0E0"/>
          </w:tcPr>
          <w:p w14:paraId="35AD13CE" w14:textId="77777777" w:rsidR="008775EB" w:rsidRPr="004B27B7" w:rsidRDefault="008775EB" w:rsidP="005203B6">
            <w:pPr>
              <w:spacing w:line="240" w:lineRule="auto"/>
              <w:rPr>
                <w:rFonts w:ascii="Times New Roman" w:hAnsi="Times New Roman" w:cs="Times New Roman"/>
                <w:color w:val="010205"/>
              </w:rPr>
            </w:pPr>
          </w:p>
        </w:tc>
        <w:tc>
          <w:tcPr>
            <w:tcW w:w="2101" w:type="dxa"/>
            <w:tcBorders>
              <w:top w:val="single" w:sz="8" w:space="0" w:color="AEAEAE"/>
              <w:left w:val="nil"/>
              <w:bottom w:val="single" w:sz="8" w:space="0" w:color="AEAEAE"/>
              <w:right w:val="nil"/>
              <w:tl2br w:val="nil"/>
              <w:tr2bl w:val="nil"/>
            </w:tcBorders>
            <w:shd w:val="clear" w:color="auto" w:fill="E0E0E0"/>
          </w:tcPr>
          <w:p w14:paraId="4BDDA7C4" w14:textId="77777777" w:rsidR="008775EB" w:rsidRPr="004B27B7" w:rsidRDefault="00000000" w:rsidP="005203B6">
            <w:pPr>
              <w:spacing w:line="240" w:lineRule="auto"/>
              <w:ind w:left="60" w:right="60"/>
              <w:rPr>
                <w:rFonts w:ascii="Times New Roman" w:hAnsi="Times New Roman" w:cs="Times New Roman"/>
                <w:color w:val="264A60"/>
              </w:rPr>
            </w:pPr>
            <w:r w:rsidRPr="004B27B7">
              <w:rPr>
                <w:rFonts w:ascii="Times New Roman" w:hAnsi="Times New Roman" w:cs="Times New Roman"/>
                <w:color w:val="264A60"/>
              </w:rPr>
              <w:t>Negative</w:t>
            </w:r>
          </w:p>
        </w:tc>
        <w:tc>
          <w:tcPr>
            <w:tcW w:w="4625" w:type="dxa"/>
            <w:tcBorders>
              <w:top w:val="single" w:sz="8" w:space="0" w:color="AEAEAE"/>
              <w:left w:val="nil"/>
              <w:bottom w:val="single" w:sz="8" w:space="0" w:color="AEAEAE"/>
              <w:right w:val="nil"/>
              <w:tl2br w:val="nil"/>
              <w:tr2bl w:val="nil"/>
            </w:tcBorders>
            <w:shd w:val="clear" w:color="auto" w:fill="FFFFFF"/>
          </w:tcPr>
          <w:p w14:paraId="1179F38E" w14:textId="77777777" w:rsidR="008775EB" w:rsidRPr="004B27B7" w:rsidRDefault="00000000" w:rsidP="005203B6">
            <w:pPr>
              <w:spacing w:line="240" w:lineRule="auto"/>
              <w:ind w:left="60" w:right="60"/>
              <w:jc w:val="right"/>
              <w:rPr>
                <w:rFonts w:ascii="Times New Roman" w:hAnsi="Times New Roman" w:cs="Times New Roman"/>
                <w:color w:val="010205"/>
              </w:rPr>
            </w:pPr>
            <w:r w:rsidRPr="004B27B7">
              <w:rPr>
                <w:rFonts w:ascii="Times New Roman" w:hAnsi="Times New Roman" w:cs="Times New Roman"/>
                <w:color w:val="010205"/>
              </w:rPr>
              <w:t>-,066</w:t>
            </w:r>
          </w:p>
        </w:tc>
      </w:tr>
      <w:tr w:rsidR="008775EB" w:rsidRPr="004B27B7" w14:paraId="5A860E0F" w14:textId="77777777">
        <w:trPr>
          <w:cantSplit/>
        </w:trPr>
        <w:tc>
          <w:tcPr>
            <w:tcW w:w="4545" w:type="dxa"/>
            <w:gridSpan w:val="2"/>
            <w:tcBorders>
              <w:top w:val="single" w:sz="8" w:space="0" w:color="AEAEAE"/>
              <w:left w:val="nil"/>
              <w:bottom w:val="single" w:sz="8" w:space="0" w:color="AEAEAE"/>
              <w:right w:val="nil"/>
              <w:tl2br w:val="nil"/>
              <w:tr2bl w:val="nil"/>
            </w:tcBorders>
            <w:shd w:val="clear" w:color="auto" w:fill="E0E0E0"/>
          </w:tcPr>
          <w:p w14:paraId="120957E2" w14:textId="77777777" w:rsidR="008775EB" w:rsidRPr="004B27B7" w:rsidRDefault="00000000" w:rsidP="005203B6">
            <w:pPr>
              <w:spacing w:line="240" w:lineRule="auto"/>
              <w:ind w:left="60" w:right="60"/>
              <w:rPr>
                <w:rFonts w:ascii="Times New Roman" w:hAnsi="Times New Roman" w:cs="Times New Roman"/>
                <w:color w:val="264A60"/>
              </w:rPr>
            </w:pPr>
            <w:r w:rsidRPr="004B27B7">
              <w:rPr>
                <w:rFonts w:ascii="Times New Roman" w:hAnsi="Times New Roman" w:cs="Times New Roman"/>
                <w:color w:val="264A60"/>
              </w:rPr>
              <w:t>Test Statistic</w:t>
            </w:r>
          </w:p>
        </w:tc>
        <w:tc>
          <w:tcPr>
            <w:tcW w:w="4625" w:type="dxa"/>
            <w:tcBorders>
              <w:top w:val="single" w:sz="8" w:space="0" w:color="AEAEAE"/>
              <w:left w:val="nil"/>
              <w:bottom w:val="single" w:sz="8" w:space="0" w:color="AEAEAE"/>
              <w:right w:val="nil"/>
              <w:tl2br w:val="nil"/>
              <w:tr2bl w:val="nil"/>
            </w:tcBorders>
            <w:shd w:val="clear" w:color="auto" w:fill="FFFFFF"/>
          </w:tcPr>
          <w:p w14:paraId="0B7D21CB" w14:textId="77777777" w:rsidR="008775EB" w:rsidRPr="004B27B7" w:rsidRDefault="00000000" w:rsidP="005203B6">
            <w:pPr>
              <w:spacing w:line="240" w:lineRule="auto"/>
              <w:ind w:left="60" w:right="60"/>
              <w:jc w:val="right"/>
              <w:rPr>
                <w:rFonts w:ascii="Times New Roman" w:hAnsi="Times New Roman" w:cs="Times New Roman"/>
                <w:color w:val="010205"/>
              </w:rPr>
            </w:pPr>
            <w:r w:rsidRPr="004B27B7">
              <w:rPr>
                <w:rFonts w:ascii="Times New Roman" w:hAnsi="Times New Roman" w:cs="Times New Roman"/>
                <w:color w:val="010205"/>
              </w:rPr>
              <w:t>,072</w:t>
            </w:r>
          </w:p>
        </w:tc>
      </w:tr>
      <w:tr w:rsidR="008775EB" w:rsidRPr="004B27B7" w14:paraId="607C1A64" w14:textId="77777777">
        <w:trPr>
          <w:cantSplit/>
        </w:trPr>
        <w:tc>
          <w:tcPr>
            <w:tcW w:w="4545" w:type="dxa"/>
            <w:gridSpan w:val="2"/>
            <w:tcBorders>
              <w:top w:val="single" w:sz="8" w:space="0" w:color="AEAEAE"/>
              <w:left w:val="nil"/>
              <w:bottom w:val="single" w:sz="8" w:space="0" w:color="152935"/>
              <w:right w:val="nil"/>
              <w:tl2br w:val="nil"/>
              <w:tr2bl w:val="nil"/>
            </w:tcBorders>
            <w:shd w:val="clear" w:color="auto" w:fill="E0E0E0"/>
          </w:tcPr>
          <w:p w14:paraId="63D640D2" w14:textId="77777777" w:rsidR="008775EB" w:rsidRPr="004B27B7" w:rsidRDefault="00000000" w:rsidP="005203B6">
            <w:pPr>
              <w:spacing w:line="240" w:lineRule="auto"/>
              <w:ind w:left="60" w:right="60"/>
              <w:rPr>
                <w:rFonts w:ascii="Times New Roman" w:hAnsi="Times New Roman" w:cs="Times New Roman"/>
                <w:color w:val="264A60"/>
              </w:rPr>
            </w:pPr>
            <w:r w:rsidRPr="004B27B7">
              <w:rPr>
                <w:rFonts w:ascii="Times New Roman" w:hAnsi="Times New Roman" w:cs="Times New Roman"/>
                <w:color w:val="264A60"/>
              </w:rPr>
              <w:t>Asymp. Sig. (2-tailed)</w:t>
            </w:r>
          </w:p>
        </w:tc>
        <w:tc>
          <w:tcPr>
            <w:tcW w:w="4625" w:type="dxa"/>
            <w:tcBorders>
              <w:top w:val="single" w:sz="8" w:space="0" w:color="AEAEAE"/>
              <w:left w:val="nil"/>
              <w:bottom w:val="single" w:sz="8" w:space="0" w:color="152935"/>
              <w:right w:val="nil"/>
              <w:tl2br w:val="nil"/>
              <w:tr2bl w:val="nil"/>
            </w:tcBorders>
            <w:shd w:val="clear" w:color="auto" w:fill="FFFFFF"/>
          </w:tcPr>
          <w:p w14:paraId="2D819D4B" w14:textId="77777777" w:rsidR="008775EB" w:rsidRPr="004B27B7" w:rsidRDefault="00000000" w:rsidP="005203B6">
            <w:pPr>
              <w:spacing w:line="240" w:lineRule="auto"/>
              <w:ind w:left="60" w:right="60"/>
              <w:jc w:val="right"/>
              <w:rPr>
                <w:rFonts w:ascii="Times New Roman" w:hAnsi="Times New Roman" w:cs="Times New Roman"/>
                <w:color w:val="010205"/>
              </w:rPr>
            </w:pPr>
            <w:r w:rsidRPr="004B27B7">
              <w:rPr>
                <w:rFonts w:ascii="Times New Roman" w:hAnsi="Times New Roman" w:cs="Times New Roman"/>
                <w:color w:val="010205"/>
              </w:rPr>
              <w:t>,200</w:t>
            </w:r>
            <w:r w:rsidRPr="004B27B7">
              <w:rPr>
                <w:rFonts w:ascii="Times New Roman" w:hAnsi="Times New Roman" w:cs="Times New Roman"/>
                <w:color w:val="010205"/>
                <w:vertAlign w:val="superscript"/>
              </w:rPr>
              <w:t>c,d</w:t>
            </w:r>
          </w:p>
        </w:tc>
      </w:tr>
      <w:tr w:rsidR="008775EB" w:rsidRPr="004B27B7" w14:paraId="5C7C8C75" w14:textId="77777777">
        <w:trPr>
          <w:cantSplit/>
        </w:trPr>
        <w:tc>
          <w:tcPr>
            <w:tcW w:w="9170" w:type="dxa"/>
            <w:gridSpan w:val="3"/>
            <w:tcBorders>
              <w:top w:val="nil"/>
              <w:left w:val="nil"/>
              <w:bottom w:val="nil"/>
              <w:right w:val="nil"/>
              <w:tl2br w:val="nil"/>
              <w:tr2bl w:val="nil"/>
            </w:tcBorders>
            <w:shd w:val="clear" w:color="auto" w:fill="FFFFFF"/>
          </w:tcPr>
          <w:p w14:paraId="140D477F" w14:textId="77777777" w:rsidR="008775EB" w:rsidRPr="004B27B7" w:rsidRDefault="00000000" w:rsidP="005203B6">
            <w:pPr>
              <w:spacing w:line="240" w:lineRule="auto"/>
              <w:ind w:left="60" w:right="60"/>
              <w:rPr>
                <w:rFonts w:ascii="Times New Roman" w:hAnsi="Times New Roman" w:cs="Times New Roman"/>
                <w:color w:val="010205"/>
              </w:rPr>
            </w:pPr>
            <w:r w:rsidRPr="004B27B7">
              <w:rPr>
                <w:rFonts w:ascii="Times New Roman" w:hAnsi="Times New Roman" w:cs="Times New Roman"/>
                <w:color w:val="010205"/>
              </w:rPr>
              <w:t>a. Test distribution is Normal.</w:t>
            </w:r>
          </w:p>
        </w:tc>
      </w:tr>
      <w:tr w:rsidR="008775EB" w:rsidRPr="004B27B7" w14:paraId="7C936A9D" w14:textId="77777777">
        <w:trPr>
          <w:cantSplit/>
        </w:trPr>
        <w:tc>
          <w:tcPr>
            <w:tcW w:w="9170" w:type="dxa"/>
            <w:gridSpan w:val="3"/>
            <w:tcBorders>
              <w:top w:val="nil"/>
              <w:left w:val="nil"/>
              <w:bottom w:val="nil"/>
              <w:right w:val="nil"/>
              <w:tl2br w:val="nil"/>
              <w:tr2bl w:val="nil"/>
            </w:tcBorders>
            <w:shd w:val="clear" w:color="auto" w:fill="FFFFFF"/>
          </w:tcPr>
          <w:p w14:paraId="31253C9F" w14:textId="77777777" w:rsidR="008775EB" w:rsidRPr="004B27B7" w:rsidRDefault="00000000" w:rsidP="005203B6">
            <w:pPr>
              <w:spacing w:line="240" w:lineRule="auto"/>
              <w:ind w:left="60" w:right="60"/>
              <w:rPr>
                <w:rFonts w:ascii="Times New Roman" w:hAnsi="Times New Roman" w:cs="Times New Roman"/>
                <w:color w:val="010205"/>
              </w:rPr>
            </w:pPr>
            <w:r w:rsidRPr="004B27B7">
              <w:rPr>
                <w:rFonts w:ascii="Times New Roman" w:hAnsi="Times New Roman" w:cs="Times New Roman"/>
                <w:color w:val="010205"/>
              </w:rPr>
              <w:t>b. Calculated from data.</w:t>
            </w:r>
          </w:p>
        </w:tc>
      </w:tr>
      <w:tr w:rsidR="008775EB" w:rsidRPr="004B27B7" w14:paraId="1B48FECF" w14:textId="77777777">
        <w:trPr>
          <w:cantSplit/>
        </w:trPr>
        <w:tc>
          <w:tcPr>
            <w:tcW w:w="9170" w:type="dxa"/>
            <w:gridSpan w:val="3"/>
            <w:tcBorders>
              <w:top w:val="nil"/>
              <w:left w:val="nil"/>
              <w:bottom w:val="nil"/>
              <w:right w:val="nil"/>
              <w:tl2br w:val="nil"/>
              <w:tr2bl w:val="nil"/>
            </w:tcBorders>
            <w:shd w:val="clear" w:color="auto" w:fill="FFFFFF"/>
          </w:tcPr>
          <w:p w14:paraId="3E6DF47C" w14:textId="77777777" w:rsidR="008775EB" w:rsidRPr="004B27B7" w:rsidRDefault="00000000" w:rsidP="005203B6">
            <w:pPr>
              <w:spacing w:line="240" w:lineRule="auto"/>
              <w:ind w:left="60" w:right="60"/>
              <w:rPr>
                <w:rFonts w:ascii="Times New Roman" w:hAnsi="Times New Roman" w:cs="Times New Roman"/>
                <w:color w:val="010205"/>
              </w:rPr>
            </w:pPr>
            <w:r w:rsidRPr="004B27B7">
              <w:rPr>
                <w:rFonts w:ascii="Times New Roman" w:hAnsi="Times New Roman" w:cs="Times New Roman"/>
                <w:color w:val="010205"/>
              </w:rPr>
              <w:t>c. Lilliefors Significance Correction.</w:t>
            </w:r>
          </w:p>
        </w:tc>
      </w:tr>
      <w:tr w:rsidR="008775EB" w:rsidRPr="004B27B7" w14:paraId="49CC1D68" w14:textId="77777777">
        <w:trPr>
          <w:cantSplit/>
        </w:trPr>
        <w:tc>
          <w:tcPr>
            <w:tcW w:w="9170" w:type="dxa"/>
            <w:gridSpan w:val="3"/>
            <w:tcBorders>
              <w:top w:val="nil"/>
              <w:left w:val="nil"/>
              <w:bottom w:val="nil"/>
              <w:right w:val="nil"/>
              <w:tl2br w:val="nil"/>
              <w:tr2bl w:val="nil"/>
            </w:tcBorders>
            <w:shd w:val="clear" w:color="auto" w:fill="FFFFFF"/>
          </w:tcPr>
          <w:p w14:paraId="5A6402CB" w14:textId="77777777" w:rsidR="008775EB" w:rsidRPr="004B27B7" w:rsidRDefault="00000000" w:rsidP="005203B6">
            <w:pPr>
              <w:spacing w:line="240" w:lineRule="auto"/>
              <w:ind w:left="60" w:right="60"/>
              <w:rPr>
                <w:rFonts w:ascii="Times New Roman" w:hAnsi="Times New Roman" w:cs="Times New Roman"/>
                <w:color w:val="010205"/>
              </w:rPr>
            </w:pPr>
            <w:r w:rsidRPr="004B27B7">
              <w:rPr>
                <w:rFonts w:ascii="Times New Roman" w:hAnsi="Times New Roman" w:cs="Times New Roman"/>
                <w:color w:val="010205"/>
              </w:rPr>
              <w:t>d. This is a lower bound of the true significance.</w:t>
            </w:r>
          </w:p>
        </w:tc>
      </w:tr>
    </w:tbl>
    <w:p w14:paraId="3690FBB1" w14:textId="77777777" w:rsidR="008775EB" w:rsidRPr="004B27B7" w:rsidRDefault="00000000" w:rsidP="004B27B7">
      <w:pPr>
        <w:spacing w:after="0" w:line="360" w:lineRule="auto"/>
        <w:jc w:val="both"/>
        <w:rPr>
          <w:rFonts w:ascii="Times New Roman" w:hAnsi="Times New Roman" w:cs="Times New Roman"/>
          <w:sz w:val="24"/>
          <w:szCs w:val="24"/>
        </w:rPr>
      </w:pPr>
      <w:r w:rsidRPr="004B27B7">
        <w:rPr>
          <w:rFonts w:ascii="Times New Roman" w:hAnsi="Times New Roman" w:cs="Times New Roman"/>
          <w:i/>
          <w:iCs/>
          <w:sz w:val="24"/>
          <w:szCs w:val="24"/>
        </w:rPr>
        <w:t>Sumber: Output SPSS 26, Data sekunder telah diolah</w:t>
      </w:r>
    </w:p>
    <w:p w14:paraId="52B81622" w14:textId="0EB4D6C4" w:rsidR="005203B6" w:rsidRPr="00177DFC" w:rsidRDefault="00000000" w:rsidP="00177DFC">
      <w:pPr>
        <w:spacing w:line="360" w:lineRule="auto"/>
        <w:ind w:firstLine="720"/>
        <w:jc w:val="both"/>
        <w:rPr>
          <w:rFonts w:ascii="Times New Roman" w:hAnsi="Times New Roman" w:cs="Times New Roman"/>
          <w:sz w:val="24"/>
          <w:szCs w:val="24"/>
        </w:rPr>
      </w:pPr>
      <w:r w:rsidRPr="004B27B7">
        <w:rPr>
          <w:rFonts w:ascii="Times New Roman" w:hAnsi="Times New Roman" w:cs="Times New Roman"/>
          <w:sz w:val="24"/>
          <w:szCs w:val="24"/>
        </w:rPr>
        <w:t xml:space="preserve">Berdasarkan </w:t>
      </w:r>
      <w:r w:rsidRPr="004B27B7">
        <w:rPr>
          <w:rFonts w:ascii="Times New Roman" w:eastAsia="SimSun" w:hAnsi="Times New Roman" w:cs="Times New Roman"/>
          <w:sz w:val="24"/>
          <w:szCs w:val="24"/>
          <w:lang w:eastAsia="id-ID"/>
        </w:rPr>
        <w:t xml:space="preserve">hasil </w:t>
      </w:r>
      <w:r w:rsidRPr="004B27B7">
        <w:rPr>
          <w:rFonts w:ascii="Times New Roman" w:hAnsi="Times New Roman" w:cs="Times New Roman"/>
          <w:i/>
          <w:iCs/>
          <w:sz w:val="24"/>
          <w:szCs w:val="24"/>
        </w:rPr>
        <w:t>One-Sample Kolmogorov-Smirnov Test</w:t>
      </w:r>
      <w:r w:rsidRPr="004B27B7">
        <w:rPr>
          <w:rFonts w:ascii="Times New Roman" w:hAnsi="Times New Roman" w:cs="Times New Roman"/>
          <w:sz w:val="24"/>
          <w:szCs w:val="24"/>
        </w:rPr>
        <w:t xml:space="preserve"> setelah dilakukan </w:t>
      </w:r>
      <w:r w:rsidRPr="004B27B7">
        <w:rPr>
          <w:rFonts w:ascii="Times New Roman" w:hAnsi="Times New Roman" w:cs="Times New Roman"/>
          <w:i/>
          <w:iCs/>
          <w:sz w:val="24"/>
          <w:szCs w:val="24"/>
        </w:rPr>
        <w:t>outliers</w:t>
      </w:r>
      <w:r w:rsidR="00023063">
        <w:rPr>
          <w:rFonts w:ascii="Times New Roman" w:hAnsi="Times New Roman" w:cs="Times New Roman"/>
          <w:i/>
          <w:iCs/>
          <w:sz w:val="24"/>
          <w:szCs w:val="24"/>
        </w:rPr>
        <w:t>,</w:t>
      </w:r>
      <w:r w:rsidRPr="004B27B7">
        <w:rPr>
          <w:rFonts w:ascii="Times New Roman" w:hAnsi="Times New Roman" w:cs="Times New Roman"/>
          <w:sz w:val="24"/>
          <w:szCs w:val="24"/>
        </w:rPr>
        <w:t xml:space="preserve"> nilai residual menunjukkan </w:t>
      </w:r>
      <w:r w:rsidRPr="004B27B7">
        <w:rPr>
          <w:rFonts w:ascii="Times New Roman" w:hAnsi="Times New Roman" w:cs="Times New Roman"/>
          <w:i/>
          <w:iCs/>
          <w:sz w:val="24"/>
          <w:szCs w:val="24"/>
        </w:rPr>
        <w:t>Asymp. Sig. (2-tailed)</w:t>
      </w:r>
      <w:r w:rsidRPr="004B27B7">
        <w:rPr>
          <w:rFonts w:ascii="Times New Roman" w:hAnsi="Times New Roman" w:cs="Times New Roman"/>
          <w:sz w:val="24"/>
          <w:szCs w:val="24"/>
        </w:rPr>
        <w:t xml:space="preserve"> sebesar 0,200. Nilai tingkat signifikansi umum yaitu 0,05, yang </w:t>
      </w:r>
      <w:r w:rsidR="00023063">
        <w:rPr>
          <w:rFonts w:ascii="Times New Roman" w:hAnsi="Times New Roman" w:cs="Times New Roman"/>
          <w:sz w:val="24"/>
          <w:szCs w:val="24"/>
        </w:rPr>
        <w:t>menunjukan</w:t>
      </w:r>
      <w:r w:rsidRPr="004B27B7">
        <w:rPr>
          <w:rFonts w:ascii="Times New Roman" w:hAnsi="Times New Roman" w:cs="Times New Roman"/>
          <w:sz w:val="24"/>
          <w:szCs w:val="24"/>
        </w:rPr>
        <w:t xml:space="preserve"> bahwa data residual telah lulus </w:t>
      </w:r>
      <w:r w:rsidR="00023063">
        <w:rPr>
          <w:rFonts w:ascii="Times New Roman" w:hAnsi="Times New Roman" w:cs="Times New Roman"/>
          <w:sz w:val="24"/>
          <w:szCs w:val="24"/>
        </w:rPr>
        <w:t xml:space="preserve">melewati </w:t>
      </w:r>
      <w:r w:rsidRPr="004B27B7">
        <w:rPr>
          <w:rFonts w:ascii="Times New Roman" w:hAnsi="Times New Roman" w:cs="Times New Roman"/>
          <w:sz w:val="24"/>
          <w:szCs w:val="24"/>
        </w:rPr>
        <w:t>uji dan berdistribusi</w:t>
      </w:r>
      <w:r w:rsidR="00023063">
        <w:rPr>
          <w:rFonts w:ascii="Times New Roman" w:hAnsi="Times New Roman" w:cs="Times New Roman"/>
          <w:sz w:val="24"/>
          <w:szCs w:val="24"/>
        </w:rPr>
        <w:t xml:space="preserve"> secara</w:t>
      </w:r>
      <w:r w:rsidRPr="004B27B7">
        <w:rPr>
          <w:rFonts w:ascii="Times New Roman" w:hAnsi="Times New Roman" w:cs="Times New Roman"/>
          <w:sz w:val="24"/>
          <w:szCs w:val="24"/>
        </w:rPr>
        <w:t xml:space="preserve"> normal.</w:t>
      </w:r>
    </w:p>
    <w:p w14:paraId="781D1A3A" w14:textId="0FFC077E" w:rsidR="008775EB" w:rsidRPr="004B27B7" w:rsidRDefault="00000000" w:rsidP="004B27B7">
      <w:pPr>
        <w:spacing w:line="360" w:lineRule="auto"/>
        <w:jc w:val="center"/>
        <w:rPr>
          <w:rFonts w:ascii="Times New Roman" w:hAnsi="Times New Roman" w:cs="Times New Roman"/>
          <w:sz w:val="24"/>
          <w:szCs w:val="24"/>
        </w:rPr>
      </w:pPr>
      <w:r w:rsidRPr="004B27B7">
        <w:rPr>
          <w:rFonts w:ascii="Times New Roman" w:hAnsi="Times New Roman" w:cs="Times New Roman"/>
          <w:b/>
          <w:bCs/>
          <w:sz w:val="24"/>
          <w:szCs w:val="24"/>
        </w:rPr>
        <w:t>Tabel 4.3 Hasil Uji Linearitas</w:t>
      </w:r>
    </w:p>
    <w:tbl>
      <w:tblPr>
        <w:tblW w:w="91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29"/>
        <w:gridCol w:w="1025"/>
        <w:gridCol w:w="2357"/>
        <w:gridCol w:w="1559"/>
        <w:gridCol w:w="752"/>
        <w:gridCol w:w="1516"/>
        <w:gridCol w:w="634"/>
        <w:gridCol w:w="598"/>
      </w:tblGrid>
      <w:tr w:rsidR="008775EB" w:rsidRPr="004B27B7" w14:paraId="5BDF7F73" w14:textId="77777777">
        <w:trPr>
          <w:cantSplit/>
          <w:trHeight w:val="548"/>
        </w:trPr>
        <w:tc>
          <w:tcPr>
            <w:tcW w:w="9170" w:type="dxa"/>
            <w:gridSpan w:val="8"/>
            <w:tcBorders>
              <w:top w:val="nil"/>
              <w:left w:val="nil"/>
              <w:bottom w:val="nil"/>
              <w:right w:val="nil"/>
              <w:tl2br w:val="nil"/>
              <w:tr2bl w:val="nil"/>
            </w:tcBorders>
            <w:shd w:val="clear" w:color="auto" w:fill="FFFFFF"/>
            <w:vAlign w:val="center"/>
          </w:tcPr>
          <w:p w14:paraId="0F84272C" w14:textId="77777777" w:rsidR="008775EB" w:rsidRPr="004B27B7" w:rsidRDefault="00000000" w:rsidP="005203B6">
            <w:pPr>
              <w:spacing w:line="240" w:lineRule="auto"/>
              <w:ind w:left="60" w:right="60"/>
              <w:jc w:val="center"/>
              <w:rPr>
                <w:rFonts w:ascii="Times New Roman" w:hAnsi="Times New Roman" w:cs="Times New Roman"/>
                <w:color w:val="010205"/>
              </w:rPr>
            </w:pPr>
            <w:r w:rsidRPr="004B27B7">
              <w:rPr>
                <w:rFonts w:ascii="Times New Roman" w:hAnsi="Times New Roman" w:cs="Times New Roman"/>
                <w:b/>
                <w:color w:val="010205"/>
              </w:rPr>
              <w:t>ANOVA Table</w:t>
            </w:r>
          </w:p>
        </w:tc>
      </w:tr>
      <w:tr w:rsidR="008775EB" w:rsidRPr="004B27B7" w14:paraId="1772C7E7" w14:textId="77777777" w:rsidTr="00742EA8">
        <w:trPr>
          <w:cantSplit/>
          <w:trHeight w:val="565"/>
        </w:trPr>
        <w:tc>
          <w:tcPr>
            <w:tcW w:w="4111" w:type="dxa"/>
            <w:gridSpan w:val="3"/>
            <w:tcBorders>
              <w:top w:val="nil"/>
              <w:left w:val="nil"/>
              <w:bottom w:val="single" w:sz="8" w:space="0" w:color="152935"/>
              <w:right w:val="nil"/>
              <w:tl2br w:val="nil"/>
              <w:tr2bl w:val="nil"/>
            </w:tcBorders>
            <w:shd w:val="clear" w:color="auto" w:fill="FFFFFF"/>
            <w:vAlign w:val="bottom"/>
          </w:tcPr>
          <w:p w14:paraId="28294F06" w14:textId="77777777" w:rsidR="008775EB" w:rsidRPr="004B27B7" w:rsidRDefault="008775EB" w:rsidP="005203B6">
            <w:pPr>
              <w:spacing w:line="240" w:lineRule="auto"/>
              <w:rPr>
                <w:rFonts w:ascii="Times New Roman" w:hAnsi="Times New Roman" w:cs="Times New Roman"/>
              </w:rPr>
            </w:pPr>
          </w:p>
        </w:tc>
        <w:tc>
          <w:tcPr>
            <w:tcW w:w="1559" w:type="dxa"/>
            <w:tcBorders>
              <w:top w:val="nil"/>
              <w:left w:val="nil"/>
              <w:bottom w:val="single" w:sz="8" w:space="0" w:color="152935"/>
              <w:right w:val="single" w:sz="8" w:space="0" w:color="E0E0E0"/>
              <w:tl2br w:val="nil"/>
              <w:tr2bl w:val="nil"/>
            </w:tcBorders>
            <w:shd w:val="clear" w:color="auto" w:fill="FFFFFF"/>
            <w:vAlign w:val="bottom"/>
          </w:tcPr>
          <w:p w14:paraId="53C95067" w14:textId="77777777" w:rsidR="008775EB" w:rsidRPr="004B27B7" w:rsidRDefault="00000000" w:rsidP="005203B6">
            <w:pPr>
              <w:spacing w:line="240" w:lineRule="auto"/>
              <w:ind w:left="60" w:right="60"/>
              <w:jc w:val="center"/>
              <w:rPr>
                <w:rFonts w:ascii="Times New Roman" w:hAnsi="Times New Roman" w:cs="Times New Roman"/>
                <w:color w:val="264A60"/>
              </w:rPr>
            </w:pPr>
            <w:r w:rsidRPr="004B27B7">
              <w:rPr>
                <w:rFonts w:ascii="Times New Roman" w:hAnsi="Times New Roman" w:cs="Times New Roman"/>
                <w:color w:val="264A60"/>
              </w:rPr>
              <w:t>Sum of Squares</w:t>
            </w:r>
          </w:p>
        </w:tc>
        <w:tc>
          <w:tcPr>
            <w:tcW w:w="752" w:type="dxa"/>
            <w:tcBorders>
              <w:top w:val="nil"/>
              <w:left w:val="single" w:sz="8" w:space="0" w:color="E0E0E0"/>
              <w:bottom w:val="single" w:sz="8" w:space="0" w:color="152935"/>
              <w:right w:val="single" w:sz="8" w:space="0" w:color="E0E0E0"/>
              <w:tl2br w:val="nil"/>
              <w:tr2bl w:val="nil"/>
            </w:tcBorders>
            <w:shd w:val="clear" w:color="auto" w:fill="FFFFFF"/>
            <w:vAlign w:val="bottom"/>
          </w:tcPr>
          <w:p w14:paraId="6D1E543C" w14:textId="77777777" w:rsidR="008775EB" w:rsidRPr="004B27B7" w:rsidRDefault="00000000" w:rsidP="005203B6">
            <w:pPr>
              <w:spacing w:line="240" w:lineRule="auto"/>
              <w:ind w:left="60" w:right="60"/>
              <w:jc w:val="center"/>
              <w:rPr>
                <w:rFonts w:ascii="Times New Roman" w:hAnsi="Times New Roman" w:cs="Times New Roman"/>
                <w:color w:val="264A60"/>
              </w:rPr>
            </w:pPr>
            <w:r w:rsidRPr="004B27B7">
              <w:rPr>
                <w:rFonts w:ascii="Times New Roman" w:hAnsi="Times New Roman" w:cs="Times New Roman"/>
                <w:color w:val="264A60"/>
              </w:rPr>
              <w:t>df</w:t>
            </w:r>
          </w:p>
        </w:tc>
        <w:tc>
          <w:tcPr>
            <w:tcW w:w="1516" w:type="dxa"/>
            <w:tcBorders>
              <w:top w:val="nil"/>
              <w:left w:val="single" w:sz="8" w:space="0" w:color="E0E0E0"/>
              <w:bottom w:val="single" w:sz="8" w:space="0" w:color="152935"/>
              <w:right w:val="single" w:sz="8" w:space="0" w:color="E0E0E0"/>
              <w:tl2br w:val="nil"/>
              <w:tr2bl w:val="nil"/>
            </w:tcBorders>
            <w:shd w:val="clear" w:color="auto" w:fill="FFFFFF"/>
            <w:vAlign w:val="bottom"/>
          </w:tcPr>
          <w:p w14:paraId="3F927350" w14:textId="77777777" w:rsidR="008775EB" w:rsidRPr="004B27B7" w:rsidRDefault="00000000" w:rsidP="005203B6">
            <w:pPr>
              <w:spacing w:line="240" w:lineRule="auto"/>
              <w:ind w:left="60" w:right="60"/>
              <w:jc w:val="center"/>
              <w:rPr>
                <w:rFonts w:ascii="Times New Roman" w:hAnsi="Times New Roman" w:cs="Times New Roman"/>
                <w:color w:val="264A60"/>
              </w:rPr>
            </w:pPr>
            <w:r w:rsidRPr="004B27B7">
              <w:rPr>
                <w:rFonts w:ascii="Times New Roman" w:hAnsi="Times New Roman" w:cs="Times New Roman"/>
                <w:color w:val="264A60"/>
              </w:rPr>
              <w:t>Mean Square</w:t>
            </w:r>
          </w:p>
        </w:tc>
        <w:tc>
          <w:tcPr>
            <w:tcW w:w="634" w:type="dxa"/>
            <w:tcBorders>
              <w:top w:val="nil"/>
              <w:left w:val="single" w:sz="8" w:space="0" w:color="E0E0E0"/>
              <w:bottom w:val="single" w:sz="8" w:space="0" w:color="152935"/>
              <w:right w:val="single" w:sz="8" w:space="0" w:color="E0E0E0"/>
              <w:tl2br w:val="nil"/>
              <w:tr2bl w:val="nil"/>
            </w:tcBorders>
            <w:shd w:val="clear" w:color="auto" w:fill="FFFFFF"/>
            <w:vAlign w:val="bottom"/>
          </w:tcPr>
          <w:p w14:paraId="705EA518" w14:textId="77777777" w:rsidR="008775EB" w:rsidRPr="004B27B7" w:rsidRDefault="00000000" w:rsidP="005203B6">
            <w:pPr>
              <w:spacing w:line="240" w:lineRule="auto"/>
              <w:ind w:left="60" w:right="60"/>
              <w:jc w:val="center"/>
              <w:rPr>
                <w:rFonts w:ascii="Times New Roman" w:hAnsi="Times New Roman" w:cs="Times New Roman"/>
                <w:color w:val="264A60"/>
              </w:rPr>
            </w:pPr>
            <w:r w:rsidRPr="004B27B7">
              <w:rPr>
                <w:rFonts w:ascii="Times New Roman" w:hAnsi="Times New Roman" w:cs="Times New Roman"/>
                <w:color w:val="264A60"/>
              </w:rPr>
              <w:t>F</w:t>
            </w:r>
          </w:p>
        </w:tc>
        <w:tc>
          <w:tcPr>
            <w:tcW w:w="598" w:type="dxa"/>
            <w:tcBorders>
              <w:top w:val="nil"/>
              <w:left w:val="single" w:sz="8" w:space="0" w:color="E0E0E0"/>
              <w:bottom w:val="single" w:sz="8" w:space="0" w:color="152935"/>
              <w:right w:val="nil"/>
              <w:tl2br w:val="nil"/>
              <w:tr2bl w:val="nil"/>
            </w:tcBorders>
            <w:shd w:val="clear" w:color="auto" w:fill="FFFFFF"/>
            <w:vAlign w:val="bottom"/>
          </w:tcPr>
          <w:p w14:paraId="79F06C2C" w14:textId="77777777" w:rsidR="008775EB" w:rsidRPr="004B27B7" w:rsidRDefault="00000000" w:rsidP="005203B6">
            <w:pPr>
              <w:spacing w:line="240" w:lineRule="auto"/>
              <w:ind w:left="60" w:right="60"/>
              <w:jc w:val="center"/>
              <w:rPr>
                <w:rFonts w:ascii="Times New Roman" w:hAnsi="Times New Roman" w:cs="Times New Roman"/>
                <w:color w:val="264A60"/>
              </w:rPr>
            </w:pPr>
            <w:r w:rsidRPr="004B27B7">
              <w:rPr>
                <w:rFonts w:ascii="Times New Roman" w:hAnsi="Times New Roman" w:cs="Times New Roman"/>
                <w:color w:val="264A60"/>
              </w:rPr>
              <w:t>Sig.</w:t>
            </w:r>
          </w:p>
        </w:tc>
      </w:tr>
      <w:tr w:rsidR="008775EB" w:rsidRPr="004B27B7" w14:paraId="3D572BBA" w14:textId="77777777" w:rsidTr="00742EA8">
        <w:trPr>
          <w:cantSplit/>
          <w:trHeight w:val="569"/>
        </w:trPr>
        <w:tc>
          <w:tcPr>
            <w:tcW w:w="729" w:type="dxa"/>
            <w:vMerge w:val="restart"/>
            <w:tcBorders>
              <w:top w:val="single" w:sz="8" w:space="0" w:color="152935"/>
              <w:left w:val="nil"/>
              <w:bottom w:val="single" w:sz="8" w:space="0" w:color="152935"/>
              <w:right w:val="nil"/>
              <w:tl2br w:val="nil"/>
              <w:tr2bl w:val="nil"/>
            </w:tcBorders>
            <w:shd w:val="clear" w:color="auto" w:fill="E0E0E0"/>
          </w:tcPr>
          <w:p w14:paraId="296B9C65" w14:textId="77777777" w:rsidR="008775EB" w:rsidRPr="004B27B7" w:rsidRDefault="00000000" w:rsidP="005203B6">
            <w:pPr>
              <w:spacing w:line="240" w:lineRule="auto"/>
              <w:ind w:left="60" w:right="60"/>
              <w:rPr>
                <w:rFonts w:ascii="Times New Roman" w:hAnsi="Times New Roman" w:cs="Times New Roman"/>
                <w:color w:val="264A60"/>
              </w:rPr>
            </w:pPr>
            <w:r w:rsidRPr="004B27B7">
              <w:rPr>
                <w:rFonts w:ascii="Times New Roman" w:hAnsi="Times New Roman" w:cs="Times New Roman"/>
                <w:color w:val="264A60"/>
              </w:rPr>
              <w:t>GA * P</w:t>
            </w:r>
          </w:p>
        </w:tc>
        <w:tc>
          <w:tcPr>
            <w:tcW w:w="1025" w:type="dxa"/>
            <w:vMerge w:val="restart"/>
            <w:tcBorders>
              <w:top w:val="single" w:sz="8" w:space="0" w:color="152935"/>
              <w:left w:val="nil"/>
              <w:bottom w:val="nil"/>
              <w:right w:val="nil"/>
              <w:tl2br w:val="nil"/>
              <w:tr2bl w:val="nil"/>
            </w:tcBorders>
            <w:shd w:val="clear" w:color="auto" w:fill="E0E0E0"/>
          </w:tcPr>
          <w:p w14:paraId="205BA05E" w14:textId="77777777" w:rsidR="008775EB" w:rsidRPr="004B27B7" w:rsidRDefault="00000000" w:rsidP="005203B6">
            <w:pPr>
              <w:spacing w:line="240" w:lineRule="auto"/>
              <w:ind w:left="60" w:right="60"/>
              <w:rPr>
                <w:rFonts w:ascii="Times New Roman" w:hAnsi="Times New Roman" w:cs="Times New Roman"/>
                <w:color w:val="264A60"/>
              </w:rPr>
            </w:pPr>
            <w:r w:rsidRPr="004B27B7">
              <w:rPr>
                <w:rFonts w:ascii="Times New Roman" w:hAnsi="Times New Roman" w:cs="Times New Roman"/>
                <w:color w:val="264A60"/>
              </w:rPr>
              <w:t>Between Groups</w:t>
            </w:r>
          </w:p>
        </w:tc>
        <w:tc>
          <w:tcPr>
            <w:tcW w:w="2357" w:type="dxa"/>
            <w:tcBorders>
              <w:top w:val="single" w:sz="8" w:space="0" w:color="152935"/>
              <w:left w:val="nil"/>
              <w:bottom w:val="single" w:sz="8" w:space="0" w:color="AEAEAE"/>
              <w:right w:val="nil"/>
              <w:tl2br w:val="nil"/>
              <w:tr2bl w:val="nil"/>
            </w:tcBorders>
            <w:shd w:val="clear" w:color="auto" w:fill="E0E0E0"/>
          </w:tcPr>
          <w:p w14:paraId="7623E92C" w14:textId="77777777" w:rsidR="008775EB" w:rsidRPr="004B27B7" w:rsidRDefault="00000000" w:rsidP="005203B6">
            <w:pPr>
              <w:spacing w:line="240" w:lineRule="auto"/>
              <w:ind w:left="60" w:right="60"/>
              <w:rPr>
                <w:rFonts w:ascii="Times New Roman" w:hAnsi="Times New Roman" w:cs="Times New Roman"/>
                <w:color w:val="264A60"/>
              </w:rPr>
            </w:pPr>
            <w:r w:rsidRPr="004B27B7">
              <w:rPr>
                <w:rFonts w:ascii="Times New Roman" w:hAnsi="Times New Roman" w:cs="Times New Roman"/>
                <w:color w:val="264A60"/>
              </w:rPr>
              <w:t>(Combined)</w:t>
            </w:r>
          </w:p>
        </w:tc>
        <w:tc>
          <w:tcPr>
            <w:tcW w:w="1559" w:type="dxa"/>
            <w:tcBorders>
              <w:top w:val="single" w:sz="8" w:space="0" w:color="152935"/>
              <w:left w:val="nil"/>
              <w:bottom w:val="single" w:sz="8" w:space="0" w:color="AEAEAE"/>
              <w:right w:val="single" w:sz="8" w:space="0" w:color="E0E0E0"/>
              <w:tl2br w:val="nil"/>
              <w:tr2bl w:val="nil"/>
            </w:tcBorders>
            <w:shd w:val="clear" w:color="auto" w:fill="FFFFFF"/>
          </w:tcPr>
          <w:p w14:paraId="5AB53192" w14:textId="77777777" w:rsidR="008775EB" w:rsidRPr="004B27B7" w:rsidRDefault="00000000" w:rsidP="005203B6">
            <w:pPr>
              <w:spacing w:line="240" w:lineRule="auto"/>
              <w:ind w:left="60" w:right="60"/>
              <w:jc w:val="right"/>
              <w:rPr>
                <w:rFonts w:ascii="Times New Roman" w:hAnsi="Times New Roman" w:cs="Times New Roman"/>
                <w:color w:val="010205"/>
              </w:rPr>
            </w:pPr>
            <w:r w:rsidRPr="004B27B7">
              <w:rPr>
                <w:rFonts w:ascii="Times New Roman" w:hAnsi="Times New Roman" w:cs="Times New Roman"/>
                <w:color w:val="010205"/>
              </w:rPr>
              <w:t>,033</w:t>
            </w:r>
          </w:p>
        </w:tc>
        <w:tc>
          <w:tcPr>
            <w:tcW w:w="752" w:type="dxa"/>
            <w:tcBorders>
              <w:top w:val="single" w:sz="8" w:space="0" w:color="152935"/>
              <w:left w:val="single" w:sz="8" w:space="0" w:color="E0E0E0"/>
              <w:bottom w:val="single" w:sz="8" w:space="0" w:color="AEAEAE"/>
              <w:right w:val="single" w:sz="8" w:space="0" w:color="E0E0E0"/>
              <w:tl2br w:val="nil"/>
              <w:tr2bl w:val="nil"/>
            </w:tcBorders>
            <w:shd w:val="clear" w:color="auto" w:fill="FFFFFF"/>
          </w:tcPr>
          <w:p w14:paraId="743BA027" w14:textId="77777777" w:rsidR="008775EB" w:rsidRPr="004B27B7" w:rsidRDefault="00000000" w:rsidP="005203B6">
            <w:pPr>
              <w:spacing w:line="240" w:lineRule="auto"/>
              <w:ind w:left="60" w:right="60"/>
              <w:jc w:val="right"/>
              <w:rPr>
                <w:rFonts w:ascii="Times New Roman" w:hAnsi="Times New Roman" w:cs="Times New Roman"/>
                <w:color w:val="010205"/>
              </w:rPr>
            </w:pPr>
            <w:r w:rsidRPr="004B27B7">
              <w:rPr>
                <w:rFonts w:ascii="Times New Roman" w:hAnsi="Times New Roman" w:cs="Times New Roman"/>
                <w:color w:val="010205"/>
              </w:rPr>
              <w:t>59</w:t>
            </w:r>
          </w:p>
        </w:tc>
        <w:tc>
          <w:tcPr>
            <w:tcW w:w="1516" w:type="dxa"/>
            <w:tcBorders>
              <w:top w:val="single" w:sz="8" w:space="0" w:color="152935"/>
              <w:left w:val="single" w:sz="8" w:space="0" w:color="E0E0E0"/>
              <w:bottom w:val="single" w:sz="8" w:space="0" w:color="AEAEAE"/>
              <w:right w:val="single" w:sz="8" w:space="0" w:color="E0E0E0"/>
              <w:tl2br w:val="nil"/>
              <w:tr2bl w:val="nil"/>
            </w:tcBorders>
            <w:shd w:val="clear" w:color="auto" w:fill="FFFFFF"/>
          </w:tcPr>
          <w:p w14:paraId="2E7BEA83" w14:textId="77777777" w:rsidR="008775EB" w:rsidRPr="004B27B7" w:rsidRDefault="00000000" w:rsidP="005203B6">
            <w:pPr>
              <w:spacing w:line="240" w:lineRule="auto"/>
              <w:ind w:left="60" w:right="60"/>
              <w:jc w:val="right"/>
              <w:rPr>
                <w:rFonts w:ascii="Times New Roman" w:hAnsi="Times New Roman" w:cs="Times New Roman"/>
                <w:color w:val="010205"/>
              </w:rPr>
            </w:pPr>
            <w:r w:rsidRPr="004B27B7">
              <w:rPr>
                <w:rFonts w:ascii="Times New Roman" w:hAnsi="Times New Roman" w:cs="Times New Roman"/>
                <w:color w:val="010205"/>
              </w:rPr>
              <w:t>,001</w:t>
            </w:r>
          </w:p>
        </w:tc>
        <w:tc>
          <w:tcPr>
            <w:tcW w:w="634" w:type="dxa"/>
            <w:tcBorders>
              <w:top w:val="single" w:sz="8" w:space="0" w:color="152935"/>
              <w:left w:val="single" w:sz="8" w:space="0" w:color="E0E0E0"/>
              <w:bottom w:val="single" w:sz="8" w:space="0" w:color="AEAEAE"/>
              <w:right w:val="single" w:sz="8" w:space="0" w:color="E0E0E0"/>
              <w:tl2br w:val="nil"/>
              <w:tr2bl w:val="nil"/>
            </w:tcBorders>
            <w:shd w:val="clear" w:color="auto" w:fill="FFFFFF"/>
          </w:tcPr>
          <w:p w14:paraId="62E05E42" w14:textId="77777777" w:rsidR="008775EB" w:rsidRPr="004B27B7" w:rsidRDefault="00000000" w:rsidP="005203B6">
            <w:pPr>
              <w:spacing w:line="240" w:lineRule="auto"/>
              <w:ind w:left="60" w:right="60"/>
              <w:jc w:val="right"/>
              <w:rPr>
                <w:rFonts w:ascii="Times New Roman" w:hAnsi="Times New Roman" w:cs="Times New Roman"/>
                <w:color w:val="010205"/>
              </w:rPr>
            </w:pPr>
            <w:r w:rsidRPr="004B27B7">
              <w:rPr>
                <w:rFonts w:ascii="Times New Roman" w:hAnsi="Times New Roman" w:cs="Times New Roman"/>
                <w:color w:val="010205"/>
              </w:rPr>
              <w:t>,149</w:t>
            </w:r>
          </w:p>
        </w:tc>
        <w:tc>
          <w:tcPr>
            <w:tcW w:w="598" w:type="dxa"/>
            <w:tcBorders>
              <w:top w:val="single" w:sz="8" w:space="0" w:color="152935"/>
              <w:left w:val="single" w:sz="8" w:space="0" w:color="E0E0E0"/>
              <w:bottom w:val="single" w:sz="8" w:space="0" w:color="AEAEAE"/>
              <w:right w:val="nil"/>
              <w:tl2br w:val="nil"/>
              <w:tr2bl w:val="nil"/>
            </w:tcBorders>
            <w:shd w:val="clear" w:color="auto" w:fill="FFFFFF"/>
          </w:tcPr>
          <w:p w14:paraId="548CEC6E" w14:textId="77777777" w:rsidR="008775EB" w:rsidRPr="004B27B7" w:rsidRDefault="00000000" w:rsidP="005203B6">
            <w:pPr>
              <w:spacing w:line="240" w:lineRule="auto"/>
              <w:ind w:left="60" w:right="60"/>
              <w:jc w:val="right"/>
              <w:rPr>
                <w:rFonts w:ascii="Times New Roman" w:hAnsi="Times New Roman" w:cs="Times New Roman"/>
                <w:color w:val="010205"/>
              </w:rPr>
            </w:pPr>
            <w:r w:rsidRPr="004B27B7">
              <w:rPr>
                <w:rFonts w:ascii="Times New Roman" w:hAnsi="Times New Roman" w:cs="Times New Roman"/>
                <w:color w:val="010205"/>
              </w:rPr>
              <w:t>,988</w:t>
            </w:r>
          </w:p>
        </w:tc>
      </w:tr>
      <w:tr w:rsidR="008775EB" w:rsidRPr="004B27B7" w14:paraId="0DD51A58" w14:textId="77777777" w:rsidTr="00742EA8">
        <w:trPr>
          <w:cantSplit/>
          <w:trHeight w:val="569"/>
        </w:trPr>
        <w:tc>
          <w:tcPr>
            <w:tcW w:w="729" w:type="dxa"/>
            <w:vMerge/>
            <w:tcBorders>
              <w:top w:val="single" w:sz="8" w:space="0" w:color="152935"/>
              <w:left w:val="nil"/>
              <w:bottom w:val="single" w:sz="8" w:space="0" w:color="152935"/>
              <w:right w:val="nil"/>
              <w:tl2br w:val="nil"/>
              <w:tr2bl w:val="nil"/>
            </w:tcBorders>
            <w:shd w:val="clear" w:color="auto" w:fill="E0E0E0"/>
          </w:tcPr>
          <w:p w14:paraId="54354A66" w14:textId="77777777" w:rsidR="008775EB" w:rsidRPr="004B27B7" w:rsidRDefault="008775EB" w:rsidP="005203B6">
            <w:pPr>
              <w:spacing w:line="240" w:lineRule="auto"/>
              <w:rPr>
                <w:rFonts w:ascii="Times New Roman" w:hAnsi="Times New Roman" w:cs="Times New Roman"/>
                <w:color w:val="010205"/>
              </w:rPr>
            </w:pPr>
          </w:p>
        </w:tc>
        <w:tc>
          <w:tcPr>
            <w:tcW w:w="1025" w:type="dxa"/>
            <w:vMerge/>
            <w:tcBorders>
              <w:top w:val="single" w:sz="8" w:space="0" w:color="152935"/>
              <w:left w:val="nil"/>
              <w:bottom w:val="nil"/>
              <w:right w:val="nil"/>
              <w:tl2br w:val="nil"/>
              <w:tr2bl w:val="nil"/>
            </w:tcBorders>
            <w:shd w:val="clear" w:color="auto" w:fill="E0E0E0"/>
          </w:tcPr>
          <w:p w14:paraId="1B73FE01" w14:textId="77777777" w:rsidR="008775EB" w:rsidRPr="004B27B7" w:rsidRDefault="008775EB" w:rsidP="005203B6">
            <w:pPr>
              <w:spacing w:line="240" w:lineRule="auto"/>
              <w:rPr>
                <w:rFonts w:ascii="Times New Roman" w:hAnsi="Times New Roman" w:cs="Times New Roman"/>
                <w:color w:val="010205"/>
              </w:rPr>
            </w:pPr>
          </w:p>
        </w:tc>
        <w:tc>
          <w:tcPr>
            <w:tcW w:w="2357" w:type="dxa"/>
            <w:tcBorders>
              <w:top w:val="single" w:sz="8" w:space="0" w:color="AEAEAE"/>
              <w:left w:val="nil"/>
              <w:bottom w:val="single" w:sz="8" w:space="0" w:color="AEAEAE"/>
              <w:right w:val="nil"/>
              <w:tl2br w:val="nil"/>
              <w:tr2bl w:val="nil"/>
            </w:tcBorders>
            <w:shd w:val="clear" w:color="auto" w:fill="E0E0E0"/>
          </w:tcPr>
          <w:p w14:paraId="4BE422C3" w14:textId="77777777" w:rsidR="008775EB" w:rsidRPr="004B27B7" w:rsidRDefault="00000000" w:rsidP="005203B6">
            <w:pPr>
              <w:spacing w:line="240" w:lineRule="auto"/>
              <w:ind w:left="60" w:right="60"/>
              <w:rPr>
                <w:rFonts w:ascii="Times New Roman" w:hAnsi="Times New Roman" w:cs="Times New Roman"/>
                <w:color w:val="264A60"/>
              </w:rPr>
            </w:pPr>
            <w:r w:rsidRPr="004B27B7">
              <w:rPr>
                <w:rFonts w:ascii="Times New Roman" w:hAnsi="Times New Roman" w:cs="Times New Roman"/>
                <w:color w:val="264A60"/>
              </w:rPr>
              <w:t>Linearity</w:t>
            </w:r>
          </w:p>
        </w:tc>
        <w:tc>
          <w:tcPr>
            <w:tcW w:w="1559" w:type="dxa"/>
            <w:tcBorders>
              <w:top w:val="single" w:sz="8" w:space="0" w:color="AEAEAE"/>
              <w:left w:val="nil"/>
              <w:bottom w:val="single" w:sz="8" w:space="0" w:color="AEAEAE"/>
              <w:right w:val="single" w:sz="8" w:space="0" w:color="E0E0E0"/>
              <w:tl2br w:val="nil"/>
              <w:tr2bl w:val="nil"/>
            </w:tcBorders>
            <w:shd w:val="clear" w:color="auto" w:fill="FFFFFF"/>
          </w:tcPr>
          <w:p w14:paraId="0A1667BD" w14:textId="77777777" w:rsidR="008775EB" w:rsidRPr="004B27B7" w:rsidRDefault="00000000" w:rsidP="005203B6">
            <w:pPr>
              <w:spacing w:line="240" w:lineRule="auto"/>
              <w:ind w:left="60" w:right="60"/>
              <w:jc w:val="right"/>
              <w:rPr>
                <w:rFonts w:ascii="Times New Roman" w:hAnsi="Times New Roman" w:cs="Times New Roman"/>
                <w:color w:val="010205"/>
              </w:rPr>
            </w:pPr>
            <w:r w:rsidRPr="004B27B7">
              <w:rPr>
                <w:rFonts w:ascii="Times New Roman" w:hAnsi="Times New Roman" w:cs="Times New Roman"/>
                <w:color w:val="010205"/>
              </w:rPr>
              <w:t>,003</w:t>
            </w:r>
          </w:p>
        </w:tc>
        <w:tc>
          <w:tcPr>
            <w:tcW w:w="752" w:type="dxa"/>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1896696C" w14:textId="77777777" w:rsidR="008775EB" w:rsidRPr="004B27B7" w:rsidRDefault="00000000" w:rsidP="005203B6">
            <w:pPr>
              <w:spacing w:line="240" w:lineRule="auto"/>
              <w:ind w:left="60" w:right="60"/>
              <w:jc w:val="right"/>
              <w:rPr>
                <w:rFonts w:ascii="Times New Roman" w:hAnsi="Times New Roman" w:cs="Times New Roman"/>
                <w:color w:val="010205"/>
              </w:rPr>
            </w:pPr>
            <w:r w:rsidRPr="004B27B7">
              <w:rPr>
                <w:rFonts w:ascii="Times New Roman" w:hAnsi="Times New Roman" w:cs="Times New Roman"/>
                <w:color w:val="010205"/>
              </w:rPr>
              <w:t>1</w:t>
            </w:r>
          </w:p>
        </w:tc>
        <w:tc>
          <w:tcPr>
            <w:tcW w:w="1516" w:type="dxa"/>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5D570AB5" w14:textId="77777777" w:rsidR="008775EB" w:rsidRPr="004B27B7" w:rsidRDefault="00000000" w:rsidP="005203B6">
            <w:pPr>
              <w:spacing w:line="240" w:lineRule="auto"/>
              <w:ind w:left="60" w:right="60"/>
              <w:jc w:val="right"/>
              <w:rPr>
                <w:rFonts w:ascii="Times New Roman" w:hAnsi="Times New Roman" w:cs="Times New Roman"/>
                <w:color w:val="010205"/>
              </w:rPr>
            </w:pPr>
            <w:r w:rsidRPr="004B27B7">
              <w:rPr>
                <w:rFonts w:ascii="Times New Roman" w:hAnsi="Times New Roman" w:cs="Times New Roman"/>
                <w:color w:val="010205"/>
              </w:rPr>
              <w:t>,003</w:t>
            </w:r>
          </w:p>
        </w:tc>
        <w:tc>
          <w:tcPr>
            <w:tcW w:w="634" w:type="dxa"/>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6F429D9D" w14:textId="77777777" w:rsidR="008775EB" w:rsidRPr="004B27B7" w:rsidRDefault="00000000" w:rsidP="005203B6">
            <w:pPr>
              <w:spacing w:line="240" w:lineRule="auto"/>
              <w:ind w:left="60" w:right="60"/>
              <w:jc w:val="right"/>
              <w:rPr>
                <w:rFonts w:ascii="Times New Roman" w:hAnsi="Times New Roman" w:cs="Times New Roman"/>
                <w:color w:val="010205"/>
              </w:rPr>
            </w:pPr>
            <w:r w:rsidRPr="004B27B7">
              <w:rPr>
                <w:rFonts w:ascii="Times New Roman" w:hAnsi="Times New Roman" w:cs="Times New Roman"/>
                <w:color w:val="010205"/>
              </w:rPr>
              <w:t>,738</w:t>
            </w:r>
          </w:p>
        </w:tc>
        <w:tc>
          <w:tcPr>
            <w:tcW w:w="598" w:type="dxa"/>
            <w:tcBorders>
              <w:top w:val="single" w:sz="8" w:space="0" w:color="AEAEAE"/>
              <w:left w:val="single" w:sz="8" w:space="0" w:color="E0E0E0"/>
              <w:bottom w:val="single" w:sz="8" w:space="0" w:color="AEAEAE"/>
              <w:right w:val="nil"/>
              <w:tl2br w:val="nil"/>
              <w:tr2bl w:val="nil"/>
            </w:tcBorders>
            <w:shd w:val="clear" w:color="auto" w:fill="FFFFFF"/>
          </w:tcPr>
          <w:p w14:paraId="69A58466" w14:textId="77777777" w:rsidR="008775EB" w:rsidRPr="004B27B7" w:rsidRDefault="00000000" w:rsidP="005203B6">
            <w:pPr>
              <w:spacing w:line="240" w:lineRule="auto"/>
              <w:ind w:left="60" w:right="60"/>
              <w:jc w:val="right"/>
              <w:rPr>
                <w:rFonts w:ascii="Times New Roman" w:hAnsi="Times New Roman" w:cs="Times New Roman"/>
                <w:color w:val="010205"/>
              </w:rPr>
            </w:pPr>
            <w:r w:rsidRPr="004B27B7">
              <w:rPr>
                <w:rFonts w:ascii="Times New Roman" w:hAnsi="Times New Roman" w:cs="Times New Roman"/>
                <w:color w:val="010205"/>
              </w:rPr>
              <w:t>,548</w:t>
            </w:r>
          </w:p>
        </w:tc>
      </w:tr>
      <w:tr w:rsidR="008775EB" w:rsidRPr="004B27B7" w14:paraId="0AD8385D" w14:textId="77777777" w:rsidTr="00742EA8">
        <w:trPr>
          <w:cantSplit/>
          <w:trHeight w:val="569"/>
        </w:trPr>
        <w:tc>
          <w:tcPr>
            <w:tcW w:w="729" w:type="dxa"/>
            <w:vMerge/>
            <w:tcBorders>
              <w:top w:val="single" w:sz="8" w:space="0" w:color="152935"/>
              <w:left w:val="nil"/>
              <w:bottom w:val="single" w:sz="8" w:space="0" w:color="152935"/>
              <w:right w:val="nil"/>
              <w:tl2br w:val="nil"/>
              <w:tr2bl w:val="nil"/>
            </w:tcBorders>
            <w:shd w:val="clear" w:color="auto" w:fill="E0E0E0"/>
          </w:tcPr>
          <w:p w14:paraId="43605AEA" w14:textId="77777777" w:rsidR="008775EB" w:rsidRPr="004B27B7" w:rsidRDefault="008775EB" w:rsidP="005203B6">
            <w:pPr>
              <w:spacing w:line="240" w:lineRule="auto"/>
              <w:rPr>
                <w:rFonts w:ascii="Times New Roman" w:hAnsi="Times New Roman" w:cs="Times New Roman"/>
                <w:color w:val="010205"/>
              </w:rPr>
            </w:pPr>
          </w:p>
        </w:tc>
        <w:tc>
          <w:tcPr>
            <w:tcW w:w="1025" w:type="dxa"/>
            <w:vMerge/>
            <w:tcBorders>
              <w:top w:val="single" w:sz="8" w:space="0" w:color="152935"/>
              <w:left w:val="nil"/>
              <w:bottom w:val="nil"/>
              <w:right w:val="nil"/>
              <w:tl2br w:val="nil"/>
              <w:tr2bl w:val="nil"/>
            </w:tcBorders>
            <w:shd w:val="clear" w:color="auto" w:fill="E0E0E0"/>
          </w:tcPr>
          <w:p w14:paraId="628C9EA5" w14:textId="77777777" w:rsidR="008775EB" w:rsidRPr="004B27B7" w:rsidRDefault="008775EB" w:rsidP="005203B6">
            <w:pPr>
              <w:spacing w:line="240" w:lineRule="auto"/>
              <w:rPr>
                <w:rFonts w:ascii="Times New Roman" w:hAnsi="Times New Roman" w:cs="Times New Roman"/>
                <w:color w:val="010205"/>
              </w:rPr>
            </w:pPr>
          </w:p>
        </w:tc>
        <w:tc>
          <w:tcPr>
            <w:tcW w:w="2357" w:type="dxa"/>
            <w:tcBorders>
              <w:top w:val="single" w:sz="8" w:space="0" w:color="AEAEAE"/>
              <w:left w:val="nil"/>
              <w:bottom w:val="nil"/>
              <w:right w:val="nil"/>
              <w:tl2br w:val="nil"/>
              <w:tr2bl w:val="nil"/>
            </w:tcBorders>
            <w:shd w:val="clear" w:color="auto" w:fill="E0E0E0"/>
          </w:tcPr>
          <w:p w14:paraId="47AEFF66" w14:textId="77777777" w:rsidR="008775EB" w:rsidRPr="004B27B7" w:rsidRDefault="00000000" w:rsidP="005203B6">
            <w:pPr>
              <w:spacing w:line="240" w:lineRule="auto"/>
              <w:ind w:left="60" w:right="60"/>
              <w:rPr>
                <w:rFonts w:ascii="Times New Roman" w:hAnsi="Times New Roman" w:cs="Times New Roman"/>
                <w:color w:val="264A60"/>
              </w:rPr>
            </w:pPr>
            <w:r w:rsidRPr="004B27B7">
              <w:rPr>
                <w:rFonts w:ascii="Times New Roman" w:hAnsi="Times New Roman" w:cs="Times New Roman"/>
                <w:color w:val="264A60"/>
              </w:rPr>
              <w:t>Deviation from Linearity</w:t>
            </w:r>
          </w:p>
        </w:tc>
        <w:tc>
          <w:tcPr>
            <w:tcW w:w="1559" w:type="dxa"/>
            <w:tcBorders>
              <w:top w:val="single" w:sz="8" w:space="0" w:color="AEAEAE"/>
              <w:left w:val="nil"/>
              <w:bottom w:val="nil"/>
              <w:right w:val="single" w:sz="8" w:space="0" w:color="E0E0E0"/>
              <w:tl2br w:val="nil"/>
              <w:tr2bl w:val="nil"/>
            </w:tcBorders>
            <w:shd w:val="clear" w:color="auto" w:fill="FFFFFF"/>
          </w:tcPr>
          <w:p w14:paraId="1F88D5A2" w14:textId="77777777" w:rsidR="008775EB" w:rsidRPr="004B27B7" w:rsidRDefault="00000000" w:rsidP="005203B6">
            <w:pPr>
              <w:spacing w:line="240" w:lineRule="auto"/>
              <w:ind w:left="60" w:right="60"/>
              <w:jc w:val="right"/>
              <w:rPr>
                <w:rFonts w:ascii="Times New Roman" w:hAnsi="Times New Roman" w:cs="Times New Roman"/>
                <w:color w:val="010205"/>
              </w:rPr>
            </w:pPr>
            <w:r w:rsidRPr="004B27B7">
              <w:rPr>
                <w:rFonts w:ascii="Times New Roman" w:hAnsi="Times New Roman" w:cs="Times New Roman"/>
                <w:color w:val="010205"/>
              </w:rPr>
              <w:t>,030</w:t>
            </w:r>
          </w:p>
        </w:tc>
        <w:tc>
          <w:tcPr>
            <w:tcW w:w="752" w:type="dxa"/>
            <w:tcBorders>
              <w:top w:val="single" w:sz="8" w:space="0" w:color="AEAEAE"/>
              <w:left w:val="single" w:sz="8" w:space="0" w:color="E0E0E0"/>
              <w:bottom w:val="nil"/>
              <w:right w:val="single" w:sz="8" w:space="0" w:color="E0E0E0"/>
              <w:tl2br w:val="nil"/>
              <w:tr2bl w:val="nil"/>
            </w:tcBorders>
            <w:shd w:val="clear" w:color="auto" w:fill="FFFFFF"/>
          </w:tcPr>
          <w:p w14:paraId="5F7858B4" w14:textId="77777777" w:rsidR="008775EB" w:rsidRPr="004B27B7" w:rsidRDefault="00000000" w:rsidP="005203B6">
            <w:pPr>
              <w:spacing w:line="240" w:lineRule="auto"/>
              <w:ind w:left="60" w:right="60"/>
              <w:jc w:val="right"/>
              <w:rPr>
                <w:rFonts w:ascii="Times New Roman" w:hAnsi="Times New Roman" w:cs="Times New Roman"/>
                <w:color w:val="010205"/>
              </w:rPr>
            </w:pPr>
            <w:r w:rsidRPr="004B27B7">
              <w:rPr>
                <w:rFonts w:ascii="Times New Roman" w:hAnsi="Times New Roman" w:cs="Times New Roman"/>
                <w:color w:val="010205"/>
              </w:rPr>
              <w:t>58</w:t>
            </w:r>
          </w:p>
        </w:tc>
        <w:tc>
          <w:tcPr>
            <w:tcW w:w="1516" w:type="dxa"/>
            <w:tcBorders>
              <w:top w:val="single" w:sz="8" w:space="0" w:color="AEAEAE"/>
              <w:left w:val="single" w:sz="8" w:space="0" w:color="E0E0E0"/>
              <w:bottom w:val="nil"/>
              <w:right w:val="single" w:sz="8" w:space="0" w:color="E0E0E0"/>
              <w:tl2br w:val="nil"/>
              <w:tr2bl w:val="nil"/>
            </w:tcBorders>
            <w:shd w:val="clear" w:color="auto" w:fill="FFFFFF"/>
          </w:tcPr>
          <w:p w14:paraId="26EFDBB7" w14:textId="77777777" w:rsidR="008775EB" w:rsidRPr="004B27B7" w:rsidRDefault="00000000" w:rsidP="005203B6">
            <w:pPr>
              <w:spacing w:line="240" w:lineRule="auto"/>
              <w:ind w:left="60" w:right="60"/>
              <w:jc w:val="right"/>
              <w:rPr>
                <w:rFonts w:ascii="Times New Roman" w:hAnsi="Times New Roman" w:cs="Times New Roman"/>
                <w:color w:val="010205"/>
              </w:rPr>
            </w:pPr>
            <w:r w:rsidRPr="004B27B7">
              <w:rPr>
                <w:rFonts w:ascii="Times New Roman" w:hAnsi="Times New Roman" w:cs="Times New Roman"/>
                <w:color w:val="010205"/>
              </w:rPr>
              <w:t>,001</w:t>
            </w:r>
          </w:p>
        </w:tc>
        <w:tc>
          <w:tcPr>
            <w:tcW w:w="634" w:type="dxa"/>
            <w:tcBorders>
              <w:top w:val="single" w:sz="8" w:space="0" w:color="AEAEAE"/>
              <w:left w:val="single" w:sz="8" w:space="0" w:color="E0E0E0"/>
              <w:bottom w:val="nil"/>
              <w:right w:val="single" w:sz="8" w:space="0" w:color="E0E0E0"/>
              <w:tl2br w:val="nil"/>
              <w:tr2bl w:val="nil"/>
            </w:tcBorders>
            <w:shd w:val="clear" w:color="auto" w:fill="FFFFFF"/>
          </w:tcPr>
          <w:p w14:paraId="5ACCCBA7" w14:textId="77777777" w:rsidR="008775EB" w:rsidRPr="004B27B7" w:rsidRDefault="00000000" w:rsidP="005203B6">
            <w:pPr>
              <w:spacing w:line="240" w:lineRule="auto"/>
              <w:ind w:left="60" w:right="60"/>
              <w:jc w:val="right"/>
              <w:rPr>
                <w:rFonts w:ascii="Times New Roman" w:hAnsi="Times New Roman" w:cs="Times New Roman"/>
                <w:color w:val="010205"/>
              </w:rPr>
            </w:pPr>
            <w:r w:rsidRPr="004B27B7">
              <w:rPr>
                <w:rFonts w:ascii="Times New Roman" w:hAnsi="Times New Roman" w:cs="Times New Roman"/>
                <w:color w:val="010205"/>
              </w:rPr>
              <w:t>,139</w:t>
            </w:r>
          </w:p>
        </w:tc>
        <w:tc>
          <w:tcPr>
            <w:tcW w:w="598" w:type="dxa"/>
            <w:tcBorders>
              <w:top w:val="single" w:sz="8" w:space="0" w:color="AEAEAE"/>
              <w:left w:val="single" w:sz="8" w:space="0" w:color="E0E0E0"/>
              <w:bottom w:val="nil"/>
              <w:right w:val="nil"/>
              <w:tl2br w:val="nil"/>
              <w:tr2bl w:val="nil"/>
            </w:tcBorders>
            <w:shd w:val="clear" w:color="auto" w:fill="FFFFFF"/>
          </w:tcPr>
          <w:p w14:paraId="7DADAD24" w14:textId="77777777" w:rsidR="008775EB" w:rsidRPr="004B27B7" w:rsidRDefault="00000000" w:rsidP="005203B6">
            <w:pPr>
              <w:spacing w:line="240" w:lineRule="auto"/>
              <w:ind w:left="60" w:right="60"/>
              <w:jc w:val="right"/>
              <w:rPr>
                <w:rFonts w:ascii="Times New Roman" w:hAnsi="Times New Roman" w:cs="Times New Roman"/>
                <w:color w:val="010205"/>
              </w:rPr>
            </w:pPr>
            <w:r w:rsidRPr="004B27B7">
              <w:rPr>
                <w:rFonts w:ascii="Times New Roman" w:hAnsi="Times New Roman" w:cs="Times New Roman"/>
                <w:color w:val="010205"/>
              </w:rPr>
              <w:t>,990</w:t>
            </w:r>
          </w:p>
        </w:tc>
      </w:tr>
      <w:tr w:rsidR="008775EB" w:rsidRPr="004B27B7" w14:paraId="0EF9856C" w14:textId="77777777" w:rsidTr="00742EA8">
        <w:trPr>
          <w:cantSplit/>
          <w:trHeight w:val="586"/>
        </w:trPr>
        <w:tc>
          <w:tcPr>
            <w:tcW w:w="729" w:type="dxa"/>
            <w:vMerge/>
            <w:tcBorders>
              <w:top w:val="single" w:sz="8" w:space="0" w:color="152935"/>
              <w:left w:val="nil"/>
              <w:bottom w:val="single" w:sz="8" w:space="0" w:color="152935"/>
              <w:right w:val="nil"/>
              <w:tl2br w:val="nil"/>
              <w:tr2bl w:val="nil"/>
            </w:tcBorders>
            <w:shd w:val="clear" w:color="auto" w:fill="E0E0E0"/>
          </w:tcPr>
          <w:p w14:paraId="23F70C0C" w14:textId="77777777" w:rsidR="008775EB" w:rsidRPr="004B27B7" w:rsidRDefault="008775EB" w:rsidP="005203B6">
            <w:pPr>
              <w:spacing w:line="240" w:lineRule="auto"/>
              <w:rPr>
                <w:rFonts w:ascii="Times New Roman" w:hAnsi="Times New Roman" w:cs="Times New Roman"/>
                <w:color w:val="010205"/>
              </w:rPr>
            </w:pPr>
          </w:p>
        </w:tc>
        <w:tc>
          <w:tcPr>
            <w:tcW w:w="3382" w:type="dxa"/>
            <w:gridSpan w:val="2"/>
            <w:tcBorders>
              <w:top w:val="single" w:sz="8" w:space="0" w:color="AEAEAE"/>
              <w:left w:val="nil"/>
              <w:bottom w:val="nil"/>
              <w:right w:val="nil"/>
              <w:tl2br w:val="nil"/>
              <w:tr2bl w:val="nil"/>
            </w:tcBorders>
            <w:shd w:val="clear" w:color="auto" w:fill="E0E0E0"/>
          </w:tcPr>
          <w:p w14:paraId="5795EE0B" w14:textId="77777777" w:rsidR="008775EB" w:rsidRPr="004B27B7" w:rsidRDefault="00000000" w:rsidP="005203B6">
            <w:pPr>
              <w:spacing w:line="240" w:lineRule="auto"/>
              <w:ind w:left="60" w:right="60"/>
              <w:rPr>
                <w:rFonts w:ascii="Times New Roman" w:hAnsi="Times New Roman" w:cs="Times New Roman"/>
                <w:color w:val="264A60"/>
              </w:rPr>
            </w:pPr>
            <w:r w:rsidRPr="004B27B7">
              <w:rPr>
                <w:rFonts w:ascii="Times New Roman" w:hAnsi="Times New Roman" w:cs="Times New Roman"/>
                <w:color w:val="264A60"/>
              </w:rPr>
              <w:t>Within Groups</w:t>
            </w:r>
          </w:p>
        </w:tc>
        <w:tc>
          <w:tcPr>
            <w:tcW w:w="1559" w:type="dxa"/>
            <w:tcBorders>
              <w:top w:val="single" w:sz="8" w:space="0" w:color="AEAEAE"/>
              <w:left w:val="nil"/>
              <w:bottom w:val="nil"/>
              <w:right w:val="single" w:sz="8" w:space="0" w:color="E0E0E0"/>
              <w:tl2br w:val="nil"/>
              <w:tr2bl w:val="nil"/>
            </w:tcBorders>
            <w:shd w:val="clear" w:color="auto" w:fill="FFFFFF"/>
          </w:tcPr>
          <w:p w14:paraId="2DD9F2FD" w14:textId="77777777" w:rsidR="008775EB" w:rsidRPr="004B27B7" w:rsidRDefault="00000000" w:rsidP="005203B6">
            <w:pPr>
              <w:spacing w:line="240" w:lineRule="auto"/>
              <w:ind w:left="60" w:right="60"/>
              <w:jc w:val="right"/>
              <w:rPr>
                <w:rFonts w:ascii="Times New Roman" w:hAnsi="Times New Roman" w:cs="Times New Roman"/>
                <w:color w:val="010205"/>
              </w:rPr>
            </w:pPr>
            <w:r w:rsidRPr="004B27B7">
              <w:rPr>
                <w:rFonts w:ascii="Times New Roman" w:hAnsi="Times New Roman" w:cs="Times New Roman"/>
                <w:color w:val="010205"/>
              </w:rPr>
              <w:t>,004</w:t>
            </w:r>
          </w:p>
        </w:tc>
        <w:tc>
          <w:tcPr>
            <w:tcW w:w="752" w:type="dxa"/>
            <w:tcBorders>
              <w:top w:val="single" w:sz="8" w:space="0" w:color="AEAEAE"/>
              <w:left w:val="single" w:sz="8" w:space="0" w:color="E0E0E0"/>
              <w:bottom w:val="nil"/>
              <w:right w:val="single" w:sz="8" w:space="0" w:color="E0E0E0"/>
              <w:tl2br w:val="nil"/>
              <w:tr2bl w:val="nil"/>
            </w:tcBorders>
            <w:shd w:val="clear" w:color="auto" w:fill="FFFFFF"/>
          </w:tcPr>
          <w:p w14:paraId="1D4BA955" w14:textId="77777777" w:rsidR="008775EB" w:rsidRPr="004B27B7" w:rsidRDefault="00000000" w:rsidP="005203B6">
            <w:pPr>
              <w:spacing w:line="240" w:lineRule="auto"/>
              <w:ind w:left="60" w:right="60"/>
              <w:jc w:val="right"/>
              <w:rPr>
                <w:rFonts w:ascii="Times New Roman" w:hAnsi="Times New Roman" w:cs="Times New Roman"/>
                <w:color w:val="010205"/>
              </w:rPr>
            </w:pPr>
            <w:r w:rsidRPr="004B27B7">
              <w:rPr>
                <w:rFonts w:ascii="Times New Roman" w:hAnsi="Times New Roman" w:cs="Times New Roman"/>
                <w:color w:val="010205"/>
              </w:rPr>
              <w:t>1</w:t>
            </w:r>
          </w:p>
        </w:tc>
        <w:tc>
          <w:tcPr>
            <w:tcW w:w="1516" w:type="dxa"/>
            <w:tcBorders>
              <w:top w:val="single" w:sz="8" w:space="0" w:color="AEAEAE"/>
              <w:left w:val="single" w:sz="8" w:space="0" w:color="E0E0E0"/>
              <w:bottom w:val="nil"/>
              <w:right w:val="single" w:sz="8" w:space="0" w:color="E0E0E0"/>
              <w:tl2br w:val="nil"/>
              <w:tr2bl w:val="nil"/>
            </w:tcBorders>
            <w:shd w:val="clear" w:color="auto" w:fill="FFFFFF"/>
          </w:tcPr>
          <w:p w14:paraId="7AABD80C" w14:textId="77777777" w:rsidR="008775EB" w:rsidRPr="004B27B7" w:rsidRDefault="00000000" w:rsidP="005203B6">
            <w:pPr>
              <w:spacing w:line="240" w:lineRule="auto"/>
              <w:ind w:left="60" w:right="60"/>
              <w:jc w:val="right"/>
              <w:rPr>
                <w:rFonts w:ascii="Times New Roman" w:hAnsi="Times New Roman" w:cs="Times New Roman"/>
                <w:color w:val="010205"/>
              </w:rPr>
            </w:pPr>
            <w:r w:rsidRPr="004B27B7">
              <w:rPr>
                <w:rFonts w:ascii="Times New Roman" w:hAnsi="Times New Roman" w:cs="Times New Roman"/>
                <w:color w:val="010205"/>
              </w:rPr>
              <w:t>,004</w:t>
            </w:r>
          </w:p>
        </w:tc>
        <w:tc>
          <w:tcPr>
            <w:tcW w:w="634" w:type="dxa"/>
            <w:tcBorders>
              <w:top w:val="single" w:sz="8" w:space="0" w:color="AEAEAE"/>
              <w:left w:val="single" w:sz="8" w:space="0" w:color="E0E0E0"/>
              <w:bottom w:val="nil"/>
              <w:right w:val="single" w:sz="8" w:space="0" w:color="E0E0E0"/>
              <w:tl2br w:val="nil"/>
              <w:tr2bl w:val="nil"/>
            </w:tcBorders>
            <w:shd w:val="clear" w:color="auto" w:fill="FFFFFF"/>
            <w:vAlign w:val="center"/>
          </w:tcPr>
          <w:p w14:paraId="2D8C5113" w14:textId="77777777" w:rsidR="008775EB" w:rsidRPr="004B27B7" w:rsidRDefault="008775EB" w:rsidP="005203B6">
            <w:pPr>
              <w:spacing w:line="240" w:lineRule="auto"/>
              <w:rPr>
                <w:rFonts w:ascii="Times New Roman" w:hAnsi="Times New Roman" w:cs="Times New Roman"/>
              </w:rPr>
            </w:pPr>
          </w:p>
        </w:tc>
        <w:tc>
          <w:tcPr>
            <w:tcW w:w="598" w:type="dxa"/>
            <w:tcBorders>
              <w:top w:val="single" w:sz="8" w:space="0" w:color="AEAEAE"/>
              <w:left w:val="single" w:sz="8" w:space="0" w:color="E0E0E0"/>
              <w:bottom w:val="nil"/>
              <w:right w:val="nil"/>
              <w:tl2br w:val="nil"/>
              <w:tr2bl w:val="nil"/>
            </w:tcBorders>
            <w:shd w:val="clear" w:color="auto" w:fill="FFFFFF"/>
            <w:vAlign w:val="center"/>
          </w:tcPr>
          <w:p w14:paraId="7B0F2489" w14:textId="77777777" w:rsidR="008775EB" w:rsidRPr="004B27B7" w:rsidRDefault="008775EB" w:rsidP="005203B6">
            <w:pPr>
              <w:spacing w:line="240" w:lineRule="auto"/>
              <w:rPr>
                <w:rFonts w:ascii="Times New Roman" w:hAnsi="Times New Roman" w:cs="Times New Roman"/>
              </w:rPr>
            </w:pPr>
          </w:p>
        </w:tc>
      </w:tr>
      <w:tr w:rsidR="008775EB" w:rsidRPr="004B27B7" w14:paraId="4CB6F417" w14:textId="77777777" w:rsidTr="00742EA8">
        <w:trPr>
          <w:cantSplit/>
          <w:trHeight w:val="607"/>
        </w:trPr>
        <w:tc>
          <w:tcPr>
            <w:tcW w:w="729" w:type="dxa"/>
            <w:vMerge/>
            <w:tcBorders>
              <w:top w:val="single" w:sz="8" w:space="0" w:color="152935"/>
              <w:left w:val="nil"/>
              <w:bottom w:val="single" w:sz="8" w:space="0" w:color="152935"/>
              <w:right w:val="nil"/>
              <w:tl2br w:val="nil"/>
              <w:tr2bl w:val="nil"/>
            </w:tcBorders>
            <w:shd w:val="clear" w:color="auto" w:fill="E0E0E0"/>
          </w:tcPr>
          <w:p w14:paraId="15803835" w14:textId="77777777" w:rsidR="008775EB" w:rsidRPr="004B27B7" w:rsidRDefault="008775EB" w:rsidP="005203B6">
            <w:pPr>
              <w:spacing w:line="240" w:lineRule="auto"/>
              <w:rPr>
                <w:rFonts w:ascii="Times New Roman" w:hAnsi="Times New Roman" w:cs="Times New Roman"/>
              </w:rPr>
            </w:pPr>
          </w:p>
        </w:tc>
        <w:tc>
          <w:tcPr>
            <w:tcW w:w="3382" w:type="dxa"/>
            <w:gridSpan w:val="2"/>
            <w:tcBorders>
              <w:top w:val="single" w:sz="8" w:space="0" w:color="AEAEAE"/>
              <w:left w:val="nil"/>
              <w:bottom w:val="single" w:sz="8" w:space="0" w:color="152935"/>
              <w:right w:val="nil"/>
              <w:tl2br w:val="nil"/>
              <w:tr2bl w:val="nil"/>
            </w:tcBorders>
            <w:shd w:val="clear" w:color="auto" w:fill="E0E0E0"/>
          </w:tcPr>
          <w:p w14:paraId="72F91707" w14:textId="77777777" w:rsidR="008775EB" w:rsidRPr="004B27B7" w:rsidRDefault="00000000" w:rsidP="005203B6">
            <w:pPr>
              <w:spacing w:line="240" w:lineRule="auto"/>
              <w:ind w:left="60" w:right="60"/>
              <w:rPr>
                <w:rFonts w:ascii="Times New Roman" w:hAnsi="Times New Roman" w:cs="Times New Roman"/>
                <w:color w:val="264A60"/>
              </w:rPr>
            </w:pPr>
            <w:r w:rsidRPr="004B27B7">
              <w:rPr>
                <w:rFonts w:ascii="Times New Roman" w:hAnsi="Times New Roman" w:cs="Times New Roman"/>
                <w:color w:val="264A60"/>
              </w:rPr>
              <w:t>Total</w:t>
            </w:r>
          </w:p>
        </w:tc>
        <w:tc>
          <w:tcPr>
            <w:tcW w:w="1559" w:type="dxa"/>
            <w:tcBorders>
              <w:top w:val="single" w:sz="8" w:space="0" w:color="AEAEAE"/>
              <w:left w:val="nil"/>
              <w:bottom w:val="single" w:sz="8" w:space="0" w:color="152935"/>
              <w:right w:val="single" w:sz="8" w:space="0" w:color="E0E0E0"/>
              <w:tl2br w:val="nil"/>
              <w:tr2bl w:val="nil"/>
            </w:tcBorders>
            <w:shd w:val="clear" w:color="auto" w:fill="FFFFFF"/>
          </w:tcPr>
          <w:p w14:paraId="58F55636" w14:textId="77777777" w:rsidR="008775EB" w:rsidRPr="004B27B7" w:rsidRDefault="00000000" w:rsidP="005203B6">
            <w:pPr>
              <w:spacing w:line="240" w:lineRule="auto"/>
              <w:ind w:left="60" w:right="60"/>
              <w:jc w:val="right"/>
              <w:rPr>
                <w:rFonts w:ascii="Times New Roman" w:hAnsi="Times New Roman" w:cs="Times New Roman"/>
                <w:color w:val="010205"/>
              </w:rPr>
            </w:pPr>
            <w:r w:rsidRPr="004B27B7">
              <w:rPr>
                <w:rFonts w:ascii="Times New Roman" w:hAnsi="Times New Roman" w:cs="Times New Roman"/>
                <w:color w:val="010205"/>
              </w:rPr>
              <w:t>,036</w:t>
            </w:r>
          </w:p>
        </w:tc>
        <w:tc>
          <w:tcPr>
            <w:tcW w:w="752" w:type="dxa"/>
            <w:tcBorders>
              <w:top w:val="single" w:sz="8" w:space="0" w:color="AEAEAE"/>
              <w:left w:val="single" w:sz="8" w:space="0" w:color="E0E0E0"/>
              <w:bottom w:val="single" w:sz="8" w:space="0" w:color="152935"/>
              <w:right w:val="single" w:sz="8" w:space="0" w:color="E0E0E0"/>
              <w:tl2br w:val="nil"/>
              <w:tr2bl w:val="nil"/>
            </w:tcBorders>
            <w:shd w:val="clear" w:color="auto" w:fill="FFFFFF"/>
          </w:tcPr>
          <w:p w14:paraId="56F93A65" w14:textId="77777777" w:rsidR="008775EB" w:rsidRPr="004B27B7" w:rsidRDefault="00000000" w:rsidP="005203B6">
            <w:pPr>
              <w:spacing w:line="240" w:lineRule="auto"/>
              <w:ind w:left="60" w:right="60"/>
              <w:jc w:val="right"/>
              <w:rPr>
                <w:rFonts w:ascii="Times New Roman" w:hAnsi="Times New Roman" w:cs="Times New Roman"/>
                <w:color w:val="010205"/>
              </w:rPr>
            </w:pPr>
            <w:r w:rsidRPr="004B27B7">
              <w:rPr>
                <w:rFonts w:ascii="Times New Roman" w:hAnsi="Times New Roman" w:cs="Times New Roman"/>
                <w:color w:val="010205"/>
              </w:rPr>
              <w:t>60</w:t>
            </w:r>
          </w:p>
        </w:tc>
        <w:tc>
          <w:tcPr>
            <w:tcW w:w="1516" w:type="dxa"/>
            <w:tcBorders>
              <w:top w:val="single" w:sz="8" w:space="0" w:color="AEAEAE"/>
              <w:left w:val="single" w:sz="8" w:space="0" w:color="E0E0E0"/>
              <w:bottom w:val="single" w:sz="8" w:space="0" w:color="152935"/>
              <w:right w:val="single" w:sz="8" w:space="0" w:color="E0E0E0"/>
              <w:tl2br w:val="nil"/>
              <w:tr2bl w:val="nil"/>
            </w:tcBorders>
            <w:shd w:val="clear" w:color="auto" w:fill="FFFFFF"/>
            <w:vAlign w:val="center"/>
          </w:tcPr>
          <w:p w14:paraId="32421A4C" w14:textId="77777777" w:rsidR="008775EB" w:rsidRPr="004B27B7" w:rsidRDefault="008775EB" w:rsidP="005203B6">
            <w:pPr>
              <w:spacing w:line="240" w:lineRule="auto"/>
              <w:rPr>
                <w:rFonts w:ascii="Times New Roman" w:hAnsi="Times New Roman" w:cs="Times New Roman"/>
              </w:rPr>
            </w:pPr>
          </w:p>
        </w:tc>
        <w:tc>
          <w:tcPr>
            <w:tcW w:w="634" w:type="dxa"/>
            <w:tcBorders>
              <w:top w:val="single" w:sz="8" w:space="0" w:color="AEAEAE"/>
              <w:left w:val="single" w:sz="8" w:space="0" w:color="E0E0E0"/>
              <w:bottom w:val="single" w:sz="8" w:space="0" w:color="152935"/>
              <w:right w:val="single" w:sz="8" w:space="0" w:color="E0E0E0"/>
              <w:tl2br w:val="nil"/>
              <w:tr2bl w:val="nil"/>
            </w:tcBorders>
            <w:shd w:val="clear" w:color="auto" w:fill="FFFFFF"/>
            <w:vAlign w:val="center"/>
          </w:tcPr>
          <w:p w14:paraId="2CF794C7" w14:textId="77777777" w:rsidR="008775EB" w:rsidRPr="004B27B7" w:rsidRDefault="008775EB" w:rsidP="005203B6">
            <w:pPr>
              <w:spacing w:line="240" w:lineRule="auto"/>
              <w:rPr>
                <w:rFonts w:ascii="Times New Roman" w:hAnsi="Times New Roman" w:cs="Times New Roman"/>
              </w:rPr>
            </w:pPr>
          </w:p>
        </w:tc>
        <w:tc>
          <w:tcPr>
            <w:tcW w:w="598" w:type="dxa"/>
            <w:tcBorders>
              <w:top w:val="single" w:sz="8" w:space="0" w:color="AEAEAE"/>
              <w:left w:val="single" w:sz="8" w:space="0" w:color="E0E0E0"/>
              <w:bottom w:val="single" w:sz="8" w:space="0" w:color="152935"/>
              <w:right w:val="nil"/>
              <w:tl2br w:val="nil"/>
              <w:tr2bl w:val="nil"/>
            </w:tcBorders>
            <w:shd w:val="clear" w:color="auto" w:fill="FFFFFF"/>
            <w:vAlign w:val="center"/>
          </w:tcPr>
          <w:p w14:paraId="31134E7E" w14:textId="77777777" w:rsidR="008775EB" w:rsidRPr="004B27B7" w:rsidRDefault="008775EB" w:rsidP="005203B6">
            <w:pPr>
              <w:spacing w:line="240" w:lineRule="auto"/>
              <w:rPr>
                <w:rFonts w:ascii="Times New Roman" w:hAnsi="Times New Roman" w:cs="Times New Roman"/>
              </w:rPr>
            </w:pPr>
          </w:p>
        </w:tc>
      </w:tr>
    </w:tbl>
    <w:p w14:paraId="21BEF8AA" w14:textId="77777777" w:rsidR="008775EB" w:rsidRPr="004B27B7" w:rsidRDefault="00000000" w:rsidP="004B27B7">
      <w:pPr>
        <w:spacing w:after="0" w:line="360" w:lineRule="auto"/>
        <w:jc w:val="both"/>
        <w:rPr>
          <w:rFonts w:ascii="Times New Roman" w:hAnsi="Times New Roman" w:cs="Times New Roman"/>
          <w:i/>
          <w:iCs/>
          <w:sz w:val="24"/>
          <w:szCs w:val="24"/>
        </w:rPr>
      </w:pPr>
      <w:r w:rsidRPr="004B27B7">
        <w:rPr>
          <w:rFonts w:ascii="Times New Roman" w:hAnsi="Times New Roman" w:cs="Times New Roman"/>
          <w:i/>
          <w:iCs/>
          <w:sz w:val="24"/>
          <w:szCs w:val="24"/>
        </w:rPr>
        <w:t>Sumber: Output SPSS 26, Data sekunder telah diolah</w:t>
      </w:r>
    </w:p>
    <w:p w14:paraId="7576405E" w14:textId="765B7726" w:rsidR="004B27B7" w:rsidRPr="004B27B7" w:rsidRDefault="00000000" w:rsidP="004B27B7">
      <w:pPr>
        <w:spacing w:line="360" w:lineRule="auto"/>
        <w:ind w:firstLine="720"/>
        <w:jc w:val="both"/>
        <w:rPr>
          <w:rFonts w:ascii="Times New Roman" w:hAnsi="Times New Roman" w:cs="Times New Roman"/>
          <w:sz w:val="24"/>
          <w:szCs w:val="24"/>
        </w:rPr>
      </w:pPr>
      <w:r w:rsidRPr="004B27B7">
        <w:rPr>
          <w:rFonts w:ascii="Times New Roman" w:hAnsi="Times New Roman" w:cs="Times New Roman"/>
          <w:sz w:val="24"/>
          <w:szCs w:val="24"/>
        </w:rPr>
        <w:lastRenderedPageBreak/>
        <w:t xml:space="preserve">Berdasarkan hasil uji linearitas diperoleh nilai signifikansi </w:t>
      </w:r>
      <w:r w:rsidRPr="004B27B7">
        <w:rPr>
          <w:rFonts w:ascii="Times New Roman" w:hAnsi="Times New Roman" w:cs="Times New Roman"/>
          <w:i/>
          <w:iCs/>
          <w:sz w:val="24"/>
          <w:szCs w:val="24"/>
        </w:rPr>
        <w:t>Linearity</w:t>
      </w:r>
      <w:r w:rsidRPr="004B27B7">
        <w:rPr>
          <w:rFonts w:ascii="Times New Roman" w:hAnsi="Times New Roman" w:cs="Times New Roman"/>
          <w:sz w:val="24"/>
          <w:szCs w:val="24"/>
        </w:rPr>
        <w:t xml:space="preserve"> sebesar 0,548 dan </w:t>
      </w:r>
      <w:r w:rsidRPr="004B27B7">
        <w:rPr>
          <w:rFonts w:ascii="Times New Roman" w:hAnsi="Times New Roman" w:cs="Times New Roman"/>
          <w:i/>
          <w:iCs/>
          <w:sz w:val="24"/>
          <w:szCs w:val="24"/>
        </w:rPr>
        <w:t>Deviation from Linearity</w:t>
      </w:r>
      <w:r w:rsidRPr="004B27B7">
        <w:rPr>
          <w:rFonts w:ascii="Times New Roman" w:hAnsi="Times New Roman" w:cs="Times New Roman"/>
          <w:sz w:val="24"/>
          <w:szCs w:val="24"/>
        </w:rPr>
        <w:t xml:space="preserve"> sebesar 0,990, keduanya lebih besar dari 0,05. Hal ini menunjukkan bahwa hubungan antara </w:t>
      </w:r>
      <w:r w:rsidRPr="004B27B7">
        <w:rPr>
          <w:rFonts w:ascii="Times New Roman" w:hAnsi="Times New Roman" w:cs="Times New Roman"/>
          <w:i/>
          <w:iCs/>
          <w:sz w:val="24"/>
          <w:szCs w:val="24"/>
        </w:rPr>
        <w:t>green accounting</w:t>
      </w:r>
      <w:r w:rsidRPr="004B27B7">
        <w:rPr>
          <w:rFonts w:ascii="Times New Roman" w:hAnsi="Times New Roman" w:cs="Times New Roman"/>
          <w:sz w:val="24"/>
          <w:szCs w:val="24"/>
        </w:rPr>
        <w:t xml:space="preserve"> dan </w:t>
      </w:r>
      <w:r w:rsidRPr="004B27B7">
        <w:rPr>
          <w:rFonts w:ascii="Times New Roman" w:hAnsi="Times New Roman" w:cs="Times New Roman"/>
          <w:i/>
          <w:iCs/>
          <w:sz w:val="24"/>
          <w:szCs w:val="24"/>
        </w:rPr>
        <w:t>profitabilitas</w:t>
      </w:r>
      <w:r w:rsidRPr="004B27B7">
        <w:rPr>
          <w:rFonts w:ascii="Times New Roman" w:hAnsi="Times New Roman" w:cs="Times New Roman"/>
          <w:sz w:val="24"/>
          <w:szCs w:val="24"/>
        </w:rPr>
        <w:t xml:space="preserve"> bersifat linear.</w:t>
      </w:r>
    </w:p>
    <w:p w14:paraId="2876CBC7" w14:textId="5FB31D41" w:rsidR="008775EB" w:rsidRPr="004B27B7" w:rsidRDefault="00000000" w:rsidP="004B27B7">
      <w:pPr>
        <w:spacing w:line="360" w:lineRule="auto"/>
        <w:jc w:val="center"/>
        <w:rPr>
          <w:rFonts w:ascii="Times New Roman" w:hAnsi="Times New Roman" w:cs="Times New Roman"/>
          <w:sz w:val="24"/>
          <w:szCs w:val="24"/>
        </w:rPr>
      </w:pPr>
      <w:r w:rsidRPr="004B27B7">
        <w:rPr>
          <w:rFonts w:ascii="Times New Roman" w:hAnsi="Times New Roman" w:cs="Times New Roman"/>
          <w:b/>
          <w:bCs/>
          <w:sz w:val="24"/>
          <w:szCs w:val="24"/>
        </w:rPr>
        <w:t>Tabel 4.4 Hasil Uji Autokorelasi</w:t>
      </w:r>
    </w:p>
    <w:tbl>
      <w:tblPr>
        <w:tblW w:w="91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99"/>
        <w:gridCol w:w="1029"/>
        <w:gridCol w:w="1091"/>
        <w:gridCol w:w="1939"/>
        <w:gridCol w:w="2417"/>
        <w:gridCol w:w="1895"/>
      </w:tblGrid>
      <w:tr w:rsidR="008775EB" w:rsidRPr="004B27B7" w14:paraId="3C199637" w14:textId="77777777">
        <w:trPr>
          <w:cantSplit/>
        </w:trPr>
        <w:tc>
          <w:tcPr>
            <w:tcW w:w="9170" w:type="dxa"/>
            <w:gridSpan w:val="6"/>
            <w:tcBorders>
              <w:top w:val="nil"/>
              <w:left w:val="nil"/>
              <w:bottom w:val="nil"/>
              <w:right w:val="nil"/>
              <w:tl2br w:val="nil"/>
              <w:tr2bl w:val="nil"/>
            </w:tcBorders>
            <w:shd w:val="clear" w:color="auto" w:fill="FFFFFF"/>
            <w:vAlign w:val="center"/>
          </w:tcPr>
          <w:p w14:paraId="7074637D" w14:textId="77777777" w:rsidR="008775EB" w:rsidRPr="004B27B7" w:rsidRDefault="00000000" w:rsidP="005203B6">
            <w:pPr>
              <w:spacing w:line="240" w:lineRule="auto"/>
              <w:ind w:left="60" w:right="60"/>
              <w:jc w:val="center"/>
              <w:rPr>
                <w:rFonts w:ascii="Times New Roman" w:hAnsi="Times New Roman" w:cs="Times New Roman"/>
                <w:color w:val="010205"/>
              </w:rPr>
            </w:pPr>
            <w:r w:rsidRPr="004B27B7">
              <w:rPr>
                <w:rFonts w:ascii="Times New Roman" w:hAnsi="Times New Roman" w:cs="Times New Roman"/>
                <w:b/>
                <w:color w:val="010205"/>
              </w:rPr>
              <w:t>Model Summary</w:t>
            </w:r>
            <w:r w:rsidRPr="004B27B7">
              <w:rPr>
                <w:rFonts w:ascii="Times New Roman" w:hAnsi="Times New Roman" w:cs="Times New Roman"/>
                <w:b/>
                <w:color w:val="010205"/>
                <w:vertAlign w:val="superscript"/>
              </w:rPr>
              <w:t>b</w:t>
            </w:r>
          </w:p>
        </w:tc>
      </w:tr>
      <w:tr w:rsidR="008775EB" w:rsidRPr="004B27B7" w14:paraId="09754595" w14:textId="77777777">
        <w:trPr>
          <w:cantSplit/>
        </w:trPr>
        <w:tc>
          <w:tcPr>
            <w:tcW w:w="799" w:type="dxa"/>
            <w:tcBorders>
              <w:top w:val="nil"/>
              <w:left w:val="nil"/>
              <w:bottom w:val="single" w:sz="8" w:space="0" w:color="152935"/>
              <w:right w:val="nil"/>
              <w:tl2br w:val="nil"/>
              <w:tr2bl w:val="nil"/>
            </w:tcBorders>
            <w:shd w:val="clear" w:color="auto" w:fill="FFFFFF"/>
            <w:vAlign w:val="bottom"/>
          </w:tcPr>
          <w:p w14:paraId="3CA493B9" w14:textId="77777777" w:rsidR="008775EB" w:rsidRPr="004B27B7" w:rsidRDefault="00000000" w:rsidP="005203B6">
            <w:pPr>
              <w:spacing w:line="240" w:lineRule="auto"/>
              <w:ind w:left="60" w:right="60"/>
              <w:rPr>
                <w:rFonts w:ascii="Times New Roman" w:hAnsi="Times New Roman" w:cs="Times New Roman"/>
                <w:color w:val="264A60"/>
              </w:rPr>
            </w:pPr>
            <w:r w:rsidRPr="004B27B7">
              <w:rPr>
                <w:rFonts w:ascii="Times New Roman" w:hAnsi="Times New Roman" w:cs="Times New Roman"/>
                <w:color w:val="264A60"/>
              </w:rPr>
              <w:t>Model</w:t>
            </w:r>
          </w:p>
        </w:tc>
        <w:tc>
          <w:tcPr>
            <w:tcW w:w="1029" w:type="dxa"/>
            <w:tcBorders>
              <w:top w:val="nil"/>
              <w:left w:val="nil"/>
              <w:bottom w:val="single" w:sz="8" w:space="0" w:color="152935"/>
              <w:right w:val="single" w:sz="8" w:space="0" w:color="E0E0E0"/>
              <w:tl2br w:val="nil"/>
              <w:tr2bl w:val="nil"/>
            </w:tcBorders>
            <w:shd w:val="clear" w:color="auto" w:fill="FFFFFF"/>
            <w:vAlign w:val="bottom"/>
          </w:tcPr>
          <w:p w14:paraId="10C3EE96" w14:textId="77777777" w:rsidR="008775EB" w:rsidRPr="004B27B7" w:rsidRDefault="00000000" w:rsidP="005203B6">
            <w:pPr>
              <w:spacing w:line="240" w:lineRule="auto"/>
              <w:ind w:left="60" w:right="60"/>
              <w:jc w:val="center"/>
              <w:rPr>
                <w:rFonts w:ascii="Times New Roman" w:hAnsi="Times New Roman" w:cs="Times New Roman"/>
                <w:color w:val="264A60"/>
              </w:rPr>
            </w:pPr>
            <w:r w:rsidRPr="004B27B7">
              <w:rPr>
                <w:rFonts w:ascii="Times New Roman" w:hAnsi="Times New Roman" w:cs="Times New Roman"/>
                <w:color w:val="264A60"/>
              </w:rPr>
              <w:t>R</w:t>
            </w:r>
          </w:p>
        </w:tc>
        <w:tc>
          <w:tcPr>
            <w:tcW w:w="1091" w:type="dxa"/>
            <w:tcBorders>
              <w:top w:val="nil"/>
              <w:left w:val="single" w:sz="8" w:space="0" w:color="E0E0E0"/>
              <w:bottom w:val="single" w:sz="8" w:space="0" w:color="152935"/>
              <w:right w:val="single" w:sz="8" w:space="0" w:color="E0E0E0"/>
              <w:tl2br w:val="nil"/>
              <w:tr2bl w:val="nil"/>
            </w:tcBorders>
            <w:shd w:val="clear" w:color="auto" w:fill="FFFFFF"/>
            <w:vAlign w:val="bottom"/>
          </w:tcPr>
          <w:p w14:paraId="47A4A3D1" w14:textId="77777777" w:rsidR="008775EB" w:rsidRPr="004B27B7" w:rsidRDefault="00000000" w:rsidP="005203B6">
            <w:pPr>
              <w:spacing w:line="240" w:lineRule="auto"/>
              <w:ind w:left="60" w:right="60"/>
              <w:jc w:val="center"/>
              <w:rPr>
                <w:rFonts w:ascii="Times New Roman" w:hAnsi="Times New Roman" w:cs="Times New Roman"/>
                <w:color w:val="264A60"/>
              </w:rPr>
            </w:pPr>
            <w:r w:rsidRPr="004B27B7">
              <w:rPr>
                <w:rFonts w:ascii="Times New Roman" w:hAnsi="Times New Roman" w:cs="Times New Roman"/>
                <w:color w:val="264A60"/>
              </w:rPr>
              <w:t>R Square</w:t>
            </w:r>
          </w:p>
        </w:tc>
        <w:tc>
          <w:tcPr>
            <w:tcW w:w="1939" w:type="dxa"/>
            <w:tcBorders>
              <w:top w:val="nil"/>
              <w:left w:val="single" w:sz="8" w:space="0" w:color="E0E0E0"/>
              <w:bottom w:val="single" w:sz="8" w:space="0" w:color="152935"/>
              <w:right w:val="single" w:sz="8" w:space="0" w:color="E0E0E0"/>
              <w:tl2br w:val="nil"/>
              <w:tr2bl w:val="nil"/>
            </w:tcBorders>
            <w:shd w:val="clear" w:color="auto" w:fill="FFFFFF"/>
            <w:vAlign w:val="bottom"/>
          </w:tcPr>
          <w:p w14:paraId="122D7307" w14:textId="77777777" w:rsidR="008775EB" w:rsidRPr="004B27B7" w:rsidRDefault="00000000" w:rsidP="005203B6">
            <w:pPr>
              <w:spacing w:line="240" w:lineRule="auto"/>
              <w:ind w:left="60" w:right="60"/>
              <w:jc w:val="center"/>
              <w:rPr>
                <w:rFonts w:ascii="Times New Roman" w:hAnsi="Times New Roman" w:cs="Times New Roman"/>
                <w:color w:val="264A60"/>
              </w:rPr>
            </w:pPr>
            <w:r w:rsidRPr="004B27B7">
              <w:rPr>
                <w:rFonts w:ascii="Times New Roman" w:hAnsi="Times New Roman" w:cs="Times New Roman"/>
                <w:color w:val="264A60"/>
              </w:rPr>
              <w:t>Adjusted R Square</w:t>
            </w:r>
          </w:p>
        </w:tc>
        <w:tc>
          <w:tcPr>
            <w:tcW w:w="2417" w:type="dxa"/>
            <w:tcBorders>
              <w:top w:val="nil"/>
              <w:left w:val="single" w:sz="8" w:space="0" w:color="E0E0E0"/>
              <w:bottom w:val="single" w:sz="8" w:space="0" w:color="152935"/>
              <w:right w:val="single" w:sz="8" w:space="0" w:color="E0E0E0"/>
              <w:tl2br w:val="nil"/>
              <w:tr2bl w:val="nil"/>
            </w:tcBorders>
            <w:shd w:val="clear" w:color="auto" w:fill="FFFFFF"/>
            <w:vAlign w:val="bottom"/>
          </w:tcPr>
          <w:p w14:paraId="74A28ECF" w14:textId="77777777" w:rsidR="008775EB" w:rsidRPr="004B27B7" w:rsidRDefault="00000000" w:rsidP="005203B6">
            <w:pPr>
              <w:spacing w:line="240" w:lineRule="auto"/>
              <w:ind w:left="60" w:right="60"/>
              <w:jc w:val="center"/>
              <w:rPr>
                <w:rFonts w:ascii="Times New Roman" w:hAnsi="Times New Roman" w:cs="Times New Roman"/>
                <w:color w:val="264A60"/>
              </w:rPr>
            </w:pPr>
            <w:r w:rsidRPr="004B27B7">
              <w:rPr>
                <w:rFonts w:ascii="Times New Roman" w:hAnsi="Times New Roman" w:cs="Times New Roman"/>
                <w:color w:val="264A60"/>
              </w:rPr>
              <w:t>Std. Error of the Estimate</w:t>
            </w:r>
          </w:p>
        </w:tc>
        <w:tc>
          <w:tcPr>
            <w:tcW w:w="1895" w:type="dxa"/>
            <w:tcBorders>
              <w:top w:val="nil"/>
              <w:left w:val="single" w:sz="8" w:space="0" w:color="E0E0E0"/>
              <w:bottom w:val="single" w:sz="8" w:space="0" w:color="152935"/>
              <w:right w:val="nil"/>
              <w:tl2br w:val="nil"/>
              <w:tr2bl w:val="nil"/>
            </w:tcBorders>
            <w:shd w:val="clear" w:color="auto" w:fill="FFFFFF"/>
            <w:vAlign w:val="bottom"/>
          </w:tcPr>
          <w:p w14:paraId="1B4D8F0A" w14:textId="77777777" w:rsidR="008775EB" w:rsidRPr="004B27B7" w:rsidRDefault="00000000" w:rsidP="005203B6">
            <w:pPr>
              <w:spacing w:line="240" w:lineRule="auto"/>
              <w:ind w:left="60" w:right="60"/>
              <w:jc w:val="center"/>
              <w:rPr>
                <w:rFonts w:ascii="Times New Roman" w:hAnsi="Times New Roman" w:cs="Times New Roman"/>
                <w:color w:val="264A60"/>
              </w:rPr>
            </w:pPr>
            <w:r w:rsidRPr="004B27B7">
              <w:rPr>
                <w:rFonts w:ascii="Times New Roman" w:hAnsi="Times New Roman" w:cs="Times New Roman"/>
                <w:color w:val="264A60"/>
              </w:rPr>
              <w:t>Durbin-Watson</w:t>
            </w:r>
          </w:p>
        </w:tc>
      </w:tr>
      <w:tr w:rsidR="008775EB" w:rsidRPr="004B27B7" w14:paraId="7DA77CC6" w14:textId="77777777">
        <w:trPr>
          <w:cantSplit/>
        </w:trPr>
        <w:tc>
          <w:tcPr>
            <w:tcW w:w="799" w:type="dxa"/>
            <w:tcBorders>
              <w:top w:val="single" w:sz="8" w:space="0" w:color="152935"/>
              <w:left w:val="nil"/>
              <w:bottom w:val="single" w:sz="8" w:space="0" w:color="152935"/>
              <w:right w:val="nil"/>
              <w:tl2br w:val="nil"/>
              <w:tr2bl w:val="nil"/>
            </w:tcBorders>
            <w:shd w:val="clear" w:color="auto" w:fill="E0E0E0"/>
          </w:tcPr>
          <w:p w14:paraId="72FB1B86" w14:textId="77777777" w:rsidR="008775EB" w:rsidRPr="004B27B7" w:rsidRDefault="00000000" w:rsidP="005203B6">
            <w:pPr>
              <w:spacing w:line="240" w:lineRule="auto"/>
              <w:ind w:left="60" w:right="60"/>
              <w:rPr>
                <w:rFonts w:ascii="Times New Roman" w:hAnsi="Times New Roman" w:cs="Times New Roman"/>
                <w:color w:val="264A60"/>
              </w:rPr>
            </w:pPr>
            <w:r w:rsidRPr="004B27B7">
              <w:rPr>
                <w:rFonts w:ascii="Times New Roman" w:hAnsi="Times New Roman" w:cs="Times New Roman"/>
                <w:color w:val="264A60"/>
              </w:rPr>
              <w:t>1</w:t>
            </w:r>
          </w:p>
        </w:tc>
        <w:tc>
          <w:tcPr>
            <w:tcW w:w="1029" w:type="dxa"/>
            <w:tcBorders>
              <w:top w:val="single" w:sz="8" w:space="0" w:color="152935"/>
              <w:left w:val="nil"/>
              <w:bottom w:val="single" w:sz="8" w:space="0" w:color="152935"/>
              <w:right w:val="single" w:sz="8" w:space="0" w:color="E0E0E0"/>
              <w:tl2br w:val="nil"/>
              <w:tr2bl w:val="nil"/>
            </w:tcBorders>
            <w:shd w:val="clear" w:color="auto" w:fill="FFFFFF"/>
          </w:tcPr>
          <w:p w14:paraId="265BDEF0" w14:textId="77777777" w:rsidR="008775EB" w:rsidRPr="004B27B7" w:rsidRDefault="00000000" w:rsidP="005203B6">
            <w:pPr>
              <w:spacing w:line="240" w:lineRule="auto"/>
              <w:ind w:left="60" w:right="60"/>
              <w:jc w:val="right"/>
              <w:rPr>
                <w:rFonts w:ascii="Times New Roman" w:hAnsi="Times New Roman" w:cs="Times New Roman"/>
                <w:color w:val="010205"/>
              </w:rPr>
            </w:pPr>
            <w:r w:rsidRPr="004B27B7">
              <w:rPr>
                <w:rFonts w:ascii="Times New Roman" w:hAnsi="Times New Roman" w:cs="Times New Roman"/>
                <w:color w:val="010205"/>
              </w:rPr>
              <w:t>,274</w:t>
            </w:r>
            <w:r w:rsidRPr="004B27B7">
              <w:rPr>
                <w:rFonts w:ascii="Times New Roman" w:hAnsi="Times New Roman" w:cs="Times New Roman"/>
                <w:color w:val="010205"/>
                <w:vertAlign w:val="superscript"/>
              </w:rPr>
              <w:t>a</w:t>
            </w:r>
          </w:p>
        </w:tc>
        <w:tc>
          <w:tcPr>
            <w:tcW w:w="1091" w:type="dxa"/>
            <w:tcBorders>
              <w:top w:val="single" w:sz="8" w:space="0" w:color="152935"/>
              <w:left w:val="single" w:sz="8" w:space="0" w:color="E0E0E0"/>
              <w:bottom w:val="single" w:sz="8" w:space="0" w:color="152935"/>
              <w:right w:val="single" w:sz="8" w:space="0" w:color="E0E0E0"/>
              <w:tl2br w:val="nil"/>
              <w:tr2bl w:val="nil"/>
            </w:tcBorders>
            <w:shd w:val="clear" w:color="auto" w:fill="FFFFFF"/>
          </w:tcPr>
          <w:p w14:paraId="2D846F63" w14:textId="77777777" w:rsidR="008775EB" w:rsidRPr="004B27B7" w:rsidRDefault="00000000" w:rsidP="005203B6">
            <w:pPr>
              <w:spacing w:line="240" w:lineRule="auto"/>
              <w:ind w:left="60" w:right="60"/>
              <w:jc w:val="right"/>
              <w:rPr>
                <w:rFonts w:ascii="Times New Roman" w:hAnsi="Times New Roman" w:cs="Times New Roman"/>
                <w:color w:val="010205"/>
              </w:rPr>
            </w:pPr>
            <w:r w:rsidRPr="004B27B7">
              <w:rPr>
                <w:rFonts w:ascii="Times New Roman" w:hAnsi="Times New Roman" w:cs="Times New Roman"/>
                <w:color w:val="010205"/>
              </w:rPr>
              <w:t>,075</w:t>
            </w:r>
          </w:p>
        </w:tc>
        <w:tc>
          <w:tcPr>
            <w:tcW w:w="1939" w:type="dxa"/>
            <w:tcBorders>
              <w:top w:val="single" w:sz="8" w:space="0" w:color="152935"/>
              <w:left w:val="single" w:sz="8" w:space="0" w:color="E0E0E0"/>
              <w:bottom w:val="single" w:sz="8" w:space="0" w:color="152935"/>
              <w:right w:val="single" w:sz="8" w:space="0" w:color="E0E0E0"/>
              <w:tl2br w:val="nil"/>
              <w:tr2bl w:val="nil"/>
            </w:tcBorders>
            <w:shd w:val="clear" w:color="auto" w:fill="FFFFFF"/>
          </w:tcPr>
          <w:p w14:paraId="4CB1E668" w14:textId="77777777" w:rsidR="008775EB" w:rsidRPr="004B27B7" w:rsidRDefault="00000000" w:rsidP="005203B6">
            <w:pPr>
              <w:spacing w:line="240" w:lineRule="auto"/>
              <w:ind w:left="60" w:right="60"/>
              <w:jc w:val="right"/>
              <w:rPr>
                <w:rFonts w:ascii="Times New Roman" w:hAnsi="Times New Roman" w:cs="Times New Roman"/>
                <w:color w:val="010205"/>
              </w:rPr>
            </w:pPr>
            <w:r w:rsidRPr="004B27B7">
              <w:rPr>
                <w:rFonts w:ascii="Times New Roman" w:hAnsi="Times New Roman" w:cs="Times New Roman"/>
                <w:color w:val="010205"/>
              </w:rPr>
              <w:t>,060</w:t>
            </w:r>
          </w:p>
        </w:tc>
        <w:tc>
          <w:tcPr>
            <w:tcW w:w="2417" w:type="dxa"/>
            <w:tcBorders>
              <w:top w:val="single" w:sz="8" w:space="0" w:color="152935"/>
              <w:left w:val="single" w:sz="8" w:space="0" w:color="E0E0E0"/>
              <w:bottom w:val="single" w:sz="8" w:space="0" w:color="152935"/>
              <w:right w:val="single" w:sz="8" w:space="0" w:color="E0E0E0"/>
              <w:tl2br w:val="nil"/>
              <w:tr2bl w:val="nil"/>
            </w:tcBorders>
            <w:shd w:val="clear" w:color="auto" w:fill="FFFFFF"/>
          </w:tcPr>
          <w:p w14:paraId="5FE0FB85" w14:textId="77777777" w:rsidR="008775EB" w:rsidRPr="004B27B7" w:rsidRDefault="00000000" w:rsidP="005203B6">
            <w:pPr>
              <w:spacing w:line="240" w:lineRule="auto"/>
              <w:ind w:left="60" w:right="60"/>
              <w:jc w:val="right"/>
              <w:rPr>
                <w:rFonts w:ascii="Times New Roman" w:hAnsi="Times New Roman" w:cs="Times New Roman"/>
                <w:color w:val="010205"/>
              </w:rPr>
            </w:pPr>
            <w:r w:rsidRPr="004B27B7">
              <w:rPr>
                <w:rFonts w:ascii="Times New Roman" w:hAnsi="Times New Roman" w:cs="Times New Roman"/>
                <w:color w:val="010205"/>
              </w:rPr>
              <w:t>1,0039300</w:t>
            </w:r>
          </w:p>
        </w:tc>
        <w:tc>
          <w:tcPr>
            <w:tcW w:w="1895" w:type="dxa"/>
            <w:tcBorders>
              <w:top w:val="single" w:sz="8" w:space="0" w:color="152935"/>
              <w:left w:val="single" w:sz="8" w:space="0" w:color="E0E0E0"/>
              <w:bottom w:val="single" w:sz="8" w:space="0" w:color="152935"/>
              <w:right w:val="nil"/>
              <w:tl2br w:val="nil"/>
              <w:tr2bl w:val="nil"/>
            </w:tcBorders>
            <w:shd w:val="clear" w:color="auto" w:fill="FFFFFF"/>
          </w:tcPr>
          <w:p w14:paraId="551E120E" w14:textId="7B32F228" w:rsidR="008775EB" w:rsidRPr="004B27B7" w:rsidRDefault="00000000" w:rsidP="005203B6">
            <w:pPr>
              <w:spacing w:line="240" w:lineRule="auto"/>
              <w:ind w:left="60" w:right="60"/>
              <w:jc w:val="right"/>
              <w:rPr>
                <w:rFonts w:ascii="Times New Roman" w:hAnsi="Times New Roman" w:cs="Times New Roman"/>
                <w:color w:val="010205"/>
              </w:rPr>
            </w:pPr>
            <w:r w:rsidRPr="004B27B7">
              <w:rPr>
                <w:rFonts w:ascii="Times New Roman" w:hAnsi="Times New Roman" w:cs="Times New Roman"/>
                <w:color w:val="010205"/>
              </w:rPr>
              <w:t>1,</w:t>
            </w:r>
            <w:r w:rsidR="006C6239">
              <w:rPr>
                <w:rFonts w:ascii="Times New Roman" w:hAnsi="Times New Roman" w:cs="Times New Roman"/>
                <w:color w:val="010205"/>
              </w:rPr>
              <w:t>28</w:t>
            </w:r>
            <w:r w:rsidRPr="004B27B7">
              <w:rPr>
                <w:rFonts w:ascii="Times New Roman" w:hAnsi="Times New Roman" w:cs="Times New Roman"/>
                <w:color w:val="010205"/>
              </w:rPr>
              <w:t>3</w:t>
            </w:r>
          </w:p>
        </w:tc>
      </w:tr>
      <w:tr w:rsidR="008775EB" w:rsidRPr="004B27B7" w14:paraId="1ED6C82D" w14:textId="77777777">
        <w:trPr>
          <w:cantSplit/>
        </w:trPr>
        <w:tc>
          <w:tcPr>
            <w:tcW w:w="9170" w:type="dxa"/>
            <w:gridSpan w:val="6"/>
            <w:tcBorders>
              <w:top w:val="nil"/>
              <w:left w:val="nil"/>
              <w:bottom w:val="nil"/>
              <w:right w:val="nil"/>
              <w:tl2br w:val="nil"/>
              <w:tr2bl w:val="nil"/>
            </w:tcBorders>
            <w:shd w:val="clear" w:color="auto" w:fill="FFFFFF"/>
          </w:tcPr>
          <w:p w14:paraId="1D6AA208" w14:textId="77777777" w:rsidR="008775EB" w:rsidRPr="004B27B7" w:rsidRDefault="00000000" w:rsidP="005203B6">
            <w:pPr>
              <w:spacing w:line="240" w:lineRule="auto"/>
              <w:ind w:left="60" w:right="60"/>
              <w:rPr>
                <w:rFonts w:ascii="Times New Roman" w:hAnsi="Times New Roman" w:cs="Times New Roman"/>
                <w:color w:val="010205"/>
              </w:rPr>
            </w:pPr>
            <w:r w:rsidRPr="004B27B7">
              <w:rPr>
                <w:rFonts w:ascii="Times New Roman" w:hAnsi="Times New Roman" w:cs="Times New Roman"/>
                <w:color w:val="010205"/>
              </w:rPr>
              <w:t>a. Predictors: (Constant), GA</w:t>
            </w:r>
          </w:p>
        </w:tc>
      </w:tr>
      <w:tr w:rsidR="008775EB" w:rsidRPr="004B27B7" w14:paraId="5832F872" w14:textId="77777777">
        <w:trPr>
          <w:cantSplit/>
        </w:trPr>
        <w:tc>
          <w:tcPr>
            <w:tcW w:w="9170" w:type="dxa"/>
            <w:gridSpan w:val="6"/>
            <w:tcBorders>
              <w:top w:val="nil"/>
              <w:left w:val="nil"/>
              <w:bottom w:val="nil"/>
              <w:right w:val="nil"/>
              <w:tl2br w:val="nil"/>
              <w:tr2bl w:val="nil"/>
            </w:tcBorders>
            <w:shd w:val="clear" w:color="auto" w:fill="FFFFFF"/>
          </w:tcPr>
          <w:p w14:paraId="30CA33D3" w14:textId="77777777" w:rsidR="008775EB" w:rsidRPr="004B27B7" w:rsidRDefault="00000000" w:rsidP="005203B6">
            <w:pPr>
              <w:spacing w:line="240" w:lineRule="auto"/>
              <w:ind w:left="60" w:right="60"/>
              <w:rPr>
                <w:rFonts w:ascii="Times New Roman" w:hAnsi="Times New Roman" w:cs="Times New Roman"/>
                <w:color w:val="010205"/>
              </w:rPr>
            </w:pPr>
            <w:r w:rsidRPr="004B27B7">
              <w:rPr>
                <w:rFonts w:ascii="Times New Roman" w:hAnsi="Times New Roman" w:cs="Times New Roman"/>
                <w:color w:val="010205"/>
              </w:rPr>
              <w:t>b. Dependent Variable: P</w:t>
            </w:r>
          </w:p>
        </w:tc>
      </w:tr>
    </w:tbl>
    <w:p w14:paraId="3672229A" w14:textId="77777777" w:rsidR="008775EB" w:rsidRPr="004B27B7" w:rsidRDefault="00000000" w:rsidP="004B27B7">
      <w:pPr>
        <w:spacing w:line="360" w:lineRule="auto"/>
        <w:jc w:val="both"/>
        <w:rPr>
          <w:rFonts w:ascii="Times New Roman" w:hAnsi="Times New Roman" w:cs="Times New Roman"/>
          <w:i/>
          <w:iCs/>
          <w:sz w:val="24"/>
          <w:szCs w:val="24"/>
        </w:rPr>
      </w:pPr>
      <w:r w:rsidRPr="004B27B7">
        <w:rPr>
          <w:rFonts w:ascii="Times New Roman" w:hAnsi="Times New Roman" w:cs="Times New Roman"/>
          <w:i/>
          <w:iCs/>
          <w:sz w:val="24"/>
          <w:szCs w:val="24"/>
        </w:rPr>
        <w:t>Sumber: Output SPSS 26, Data sekunder telah diolah</w:t>
      </w:r>
    </w:p>
    <w:p w14:paraId="66D48FDF" w14:textId="4A9FDA0B" w:rsidR="005203B6" w:rsidRPr="00177DFC" w:rsidRDefault="00000000" w:rsidP="00177DFC">
      <w:pPr>
        <w:spacing w:line="360" w:lineRule="auto"/>
        <w:ind w:firstLine="720"/>
        <w:jc w:val="both"/>
        <w:rPr>
          <w:rFonts w:ascii="Times New Roman" w:hAnsi="Times New Roman" w:cs="Times New Roman"/>
          <w:sz w:val="24"/>
          <w:szCs w:val="24"/>
        </w:rPr>
      </w:pPr>
      <w:r w:rsidRPr="004B27B7">
        <w:rPr>
          <w:rFonts w:ascii="Times New Roman" w:hAnsi="Times New Roman" w:cs="Times New Roman"/>
          <w:sz w:val="24"/>
          <w:szCs w:val="24"/>
        </w:rPr>
        <w:t xml:space="preserve">Berdasarkan Hasil Uji Autokorelasi bahwa nilai </w:t>
      </w:r>
      <w:r w:rsidRPr="004B27B7">
        <w:rPr>
          <w:rFonts w:ascii="Times New Roman" w:hAnsi="Times New Roman" w:cs="Times New Roman"/>
          <w:i/>
          <w:iCs/>
          <w:sz w:val="24"/>
          <w:szCs w:val="24"/>
        </w:rPr>
        <w:t>durbin watson</w:t>
      </w:r>
      <w:r w:rsidRPr="004B27B7">
        <w:rPr>
          <w:rFonts w:ascii="Times New Roman" w:hAnsi="Times New Roman" w:cs="Times New Roman"/>
          <w:sz w:val="24"/>
          <w:szCs w:val="24"/>
        </w:rPr>
        <w:t xml:space="preserve"> adalah 1,283 dibandingkan dengan tabel </w:t>
      </w:r>
      <w:r w:rsidRPr="004B27B7">
        <w:rPr>
          <w:rFonts w:ascii="Times New Roman" w:hAnsi="Times New Roman" w:cs="Times New Roman"/>
          <w:i/>
          <w:iCs/>
          <w:sz w:val="24"/>
          <w:szCs w:val="24"/>
        </w:rPr>
        <w:t>durbin watson</w:t>
      </w:r>
      <w:r w:rsidRPr="004B27B7">
        <w:rPr>
          <w:rFonts w:ascii="Times New Roman" w:hAnsi="Times New Roman" w:cs="Times New Roman"/>
          <w:sz w:val="24"/>
          <w:szCs w:val="24"/>
        </w:rPr>
        <w:t xml:space="preserve"> dengan nilai signifikan 5%, jumlah sampel 61(n) dan jumlah variabel </w:t>
      </w:r>
      <w:r w:rsidRPr="004B27B7">
        <w:rPr>
          <w:rFonts w:ascii="Times New Roman" w:hAnsi="Times New Roman" w:cs="Times New Roman"/>
          <w:i/>
          <w:iCs/>
          <w:sz w:val="24"/>
          <w:szCs w:val="24"/>
        </w:rPr>
        <w:t>independen</w:t>
      </w:r>
      <w:r w:rsidRPr="004B27B7">
        <w:rPr>
          <w:rFonts w:ascii="Times New Roman" w:hAnsi="Times New Roman" w:cs="Times New Roman"/>
          <w:sz w:val="24"/>
          <w:szCs w:val="24"/>
        </w:rPr>
        <w:t xml:space="preserve"> yaitu 1(k) diketahui nilai DL adalah 1.552 sedangkan nilai DU adalah 1.618 Syarat tidak terjadinya gejala autokorelasi yaitu DU&lt;DW&lt;4-DU maka hasil dari syarat tersebut adalah 1,6</w:t>
      </w:r>
      <w:r w:rsidR="006C6239">
        <w:rPr>
          <w:rFonts w:ascii="Times New Roman" w:hAnsi="Times New Roman" w:cs="Times New Roman"/>
          <w:sz w:val="24"/>
          <w:szCs w:val="24"/>
        </w:rPr>
        <w:t>18</w:t>
      </w:r>
      <w:r w:rsidRPr="004B27B7">
        <w:rPr>
          <w:rFonts w:ascii="Times New Roman" w:hAnsi="Times New Roman" w:cs="Times New Roman"/>
          <w:sz w:val="24"/>
          <w:szCs w:val="24"/>
        </w:rPr>
        <w:t>&lt;1</w:t>
      </w:r>
      <w:r w:rsidR="006C6239">
        <w:rPr>
          <w:rFonts w:ascii="Times New Roman" w:hAnsi="Times New Roman" w:cs="Times New Roman"/>
          <w:sz w:val="24"/>
          <w:szCs w:val="24"/>
        </w:rPr>
        <w:t>,283</w:t>
      </w:r>
      <w:r w:rsidRPr="004B27B7">
        <w:rPr>
          <w:rFonts w:ascii="Times New Roman" w:hAnsi="Times New Roman" w:cs="Times New Roman"/>
          <w:sz w:val="24"/>
          <w:szCs w:val="24"/>
        </w:rPr>
        <w:t>&lt;2,38</w:t>
      </w:r>
      <w:r w:rsidR="006C6239">
        <w:rPr>
          <w:rFonts w:ascii="Times New Roman" w:hAnsi="Times New Roman" w:cs="Times New Roman"/>
          <w:sz w:val="24"/>
          <w:szCs w:val="24"/>
        </w:rPr>
        <w:t>2</w:t>
      </w:r>
      <w:r w:rsidRPr="004B27B7">
        <w:rPr>
          <w:rFonts w:ascii="Times New Roman" w:hAnsi="Times New Roman" w:cs="Times New Roman"/>
          <w:sz w:val="24"/>
          <w:szCs w:val="24"/>
        </w:rPr>
        <w:t>, dapat disimpulkan bahwa penelitian ini bebas dari gejala autokorelasi.</w:t>
      </w:r>
    </w:p>
    <w:p w14:paraId="2D9B3601" w14:textId="247991A1" w:rsidR="008775EB" w:rsidRPr="004B27B7" w:rsidRDefault="00000000" w:rsidP="004B27B7">
      <w:pPr>
        <w:spacing w:line="360" w:lineRule="auto"/>
        <w:jc w:val="center"/>
        <w:rPr>
          <w:rFonts w:ascii="Times New Roman" w:hAnsi="Times New Roman" w:cs="Times New Roman"/>
          <w:sz w:val="24"/>
          <w:szCs w:val="24"/>
        </w:rPr>
      </w:pPr>
      <w:r w:rsidRPr="004B27B7">
        <w:rPr>
          <w:rFonts w:ascii="Times New Roman" w:hAnsi="Times New Roman" w:cs="Times New Roman"/>
          <w:b/>
          <w:bCs/>
          <w:sz w:val="24"/>
          <w:szCs w:val="24"/>
        </w:rPr>
        <w:t>Tabel 4.5 Hasil Uji Heteroskedastisitas</w:t>
      </w:r>
    </w:p>
    <w:tbl>
      <w:tblPr>
        <w:tblW w:w="91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7"/>
        <w:gridCol w:w="1183"/>
        <w:gridCol w:w="1337"/>
        <w:gridCol w:w="1337"/>
        <w:gridCol w:w="2431"/>
        <w:gridCol w:w="1083"/>
        <w:gridCol w:w="1042"/>
      </w:tblGrid>
      <w:tr w:rsidR="008775EB" w:rsidRPr="004B27B7" w14:paraId="084A7374" w14:textId="77777777">
        <w:trPr>
          <w:cantSplit/>
        </w:trPr>
        <w:tc>
          <w:tcPr>
            <w:tcW w:w="9150" w:type="dxa"/>
            <w:gridSpan w:val="7"/>
            <w:tcBorders>
              <w:top w:val="nil"/>
              <w:left w:val="nil"/>
              <w:bottom w:val="nil"/>
              <w:right w:val="nil"/>
              <w:tl2br w:val="nil"/>
              <w:tr2bl w:val="nil"/>
            </w:tcBorders>
            <w:shd w:val="clear" w:color="auto" w:fill="FFFFFF"/>
            <w:vAlign w:val="center"/>
          </w:tcPr>
          <w:p w14:paraId="367381E1" w14:textId="77777777" w:rsidR="008775EB" w:rsidRPr="004B27B7" w:rsidRDefault="00000000" w:rsidP="005203B6">
            <w:pPr>
              <w:spacing w:line="240" w:lineRule="auto"/>
              <w:ind w:left="60" w:right="60"/>
              <w:jc w:val="center"/>
              <w:rPr>
                <w:rFonts w:ascii="Times New Roman" w:hAnsi="Times New Roman" w:cs="Times New Roman"/>
                <w:color w:val="010205"/>
              </w:rPr>
            </w:pPr>
            <w:r w:rsidRPr="004B27B7">
              <w:rPr>
                <w:rFonts w:ascii="Times New Roman" w:hAnsi="Times New Roman" w:cs="Times New Roman"/>
                <w:b/>
                <w:color w:val="010205"/>
              </w:rPr>
              <w:t>Coefficients</w:t>
            </w:r>
            <w:r w:rsidRPr="004B27B7">
              <w:rPr>
                <w:rFonts w:ascii="Times New Roman" w:hAnsi="Times New Roman" w:cs="Times New Roman"/>
                <w:b/>
                <w:color w:val="010205"/>
                <w:vertAlign w:val="superscript"/>
              </w:rPr>
              <w:t>a</w:t>
            </w:r>
          </w:p>
        </w:tc>
      </w:tr>
      <w:tr w:rsidR="008775EB" w:rsidRPr="004B27B7" w14:paraId="1818DEBE" w14:textId="77777777">
        <w:trPr>
          <w:cantSplit/>
        </w:trPr>
        <w:tc>
          <w:tcPr>
            <w:tcW w:w="1920" w:type="dxa"/>
            <w:gridSpan w:val="2"/>
            <w:vMerge w:val="restart"/>
            <w:tcBorders>
              <w:top w:val="nil"/>
              <w:left w:val="nil"/>
              <w:bottom w:val="nil"/>
              <w:right w:val="nil"/>
              <w:tl2br w:val="nil"/>
              <w:tr2bl w:val="nil"/>
            </w:tcBorders>
            <w:shd w:val="clear" w:color="auto" w:fill="FFFFFF"/>
            <w:vAlign w:val="bottom"/>
          </w:tcPr>
          <w:p w14:paraId="2B3BCD08" w14:textId="77777777" w:rsidR="008775EB" w:rsidRPr="004B27B7" w:rsidRDefault="00000000" w:rsidP="005203B6">
            <w:pPr>
              <w:spacing w:line="240" w:lineRule="auto"/>
              <w:ind w:left="60" w:right="60"/>
              <w:rPr>
                <w:rFonts w:ascii="Times New Roman" w:hAnsi="Times New Roman" w:cs="Times New Roman"/>
                <w:color w:val="264A60"/>
              </w:rPr>
            </w:pPr>
            <w:r w:rsidRPr="004B27B7">
              <w:rPr>
                <w:rFonts w:ascii="Times New Roman" w:hAnsi="Times New Roman" w:cs="Times New Roman"/>
                <w:color w:val="264A60"/>
              </w:rPr>
              <w:t>Model</w:t>
            </w:r>
          </w:p>
        </w:tc>
        <w:tc>
          <w:tcPr>
            <w:tcW w:w="2674" w:type="dxa"/>
            <w:gridSpan w:val="2"/>
            <w:tcBorders>
              <w:top w:val="nil"/>
              <w:left w:val="nil"/>
              <w:bottom w:val="nil"/>
              <w:right w:val="single" w:sz="8" w:space="0" w:color="E0E0E0"/>
              <w:tl2br w:val="nil"/>
              <w:tr2bl w:val="nil"/>
            </w:tcBorders>
            <w:shd w:val="clear" w:color="auto" w:fill="FFFFFF"/>
            <w:vAlign w:val="bottom"/>
          </w:tcPr>
          <w:p w14:paraId="303585F9" w14:textId="77777777" w:rsidR="008775EB" w:rsidRPr="004B27B7" w:rsidRDefault="00000000" w:rsidP="005203B6">
            <w:pPr>
              <w:spacing w:line="240" w:lineRule="auto"/>
              <w:ind w:left="60" w:right="60"/>
              <w:jc w:val="center"/>
              <w:rPr>
                <w:rFonts w:ascii="Times New Roman" w:hAnsi="Times New Roman" w:cs="Times New Roman"/>
                <w:color w:val="264A60"/>
              </w:rPr>
            </w:pPr>
            <w:r w:rsidRPr="004B27B7">
              <w:rPr>
                <w:rFonts w:ascii="Times New Roman" w:hAnsi="Times New Roman" w:cs="Times New Roman"/>
                <w:color w:val="264A60"/>
              </w:rPr>
              <w:t>Unstandardized Coefficients</w:t>
            </w:r>
          </w:p>
        </w:tc>
        <w:tc>
          <w:tcPr>
            <w:tcW w:w="2431" w:type="dxa"/>
            <w:tcBorders>
              <w:top w:val="nil"/>
              <w:left w:val="single" w:sz="8" w:space="0" w:color="E0E0E0"/>
              <w:bottom w:val="nil"/>
              <w:right w:val="single" w:sz="8" w:space="0" w:color="E0E0E0"/>
              <w:tl2br w:val="nil"/>
              <w:tr2bl w:val="nil"/>
            </w:tcBorders>
            <w:shd w:val="clear" w:color="auto" w:fill="FFFFFF"/>
            <w:vAlign w:val="bottom"/>
          </w:tcPr>
          <w:p w14:paraId="106161AC" w14:textId="77777777" w:rsidR="008775EB" w:rsidRPr="004B27B7" w:rsidRDefault="00000000" w:rsidP="005203B6">
            <w:pPr>
              <w:spacing w:line="240" w:lineRule="auto"/>
              <w:ind w:left="60" w:right="60"/>
              <w:jc w:val="center"/>
              <w:rPr>
                <w:rFonts w:ascii="Times New Roman" w:hAnsi="Times New Roman" w:cs="Times New Roman"/>
                <w:color w:val="264A60"/>
              </w:rPr>
            </w:pPr>
            <w:r w:rsidRPr="004B27B7">
              <w:rPr>
                <w:rFonts w:ascii="Times New Roman" w:hAnsi="Times New Roman" w:cs="Times New Roman"/>
                <w:color w:val="264A60"/>
              </w:rPr>
              <w:t>Standardized Coefficients</w:t>
            </w:r>
          </w:p>
        </w:tc>
        <w:tc>
          <w:tcPr>
            <w:tcW w:w="1083" w:type="dxa"/>
            <w:vMerge w:val="restart"/>
            <w:tcBorders>
              <w:top w:val="nil"/>
              <w:left w:val="single" w:sz="8" w:space="0" w:color="E0E0E0"/>
              <w:bottom w:val="nil"/>
              <w:right w:val="single" w:sz="8" w:space="0" w:color="E0E0E0"/>
              <w:tl2br w:val="nil"/>
              <w:tr2bl w:val="nil"/>
            </w:tcBorders>
            <w:shd w:val="clear" w:color="auto" w:fill="FFFFFF"/>
            <w:vAlign w:val="bottom"/>
          </w:tcPr>
          <w:p w14:paraId="02ECD084" w14:textId="77777777" w:rsidR="008775EB" w:rsidRPr="004B27B7" w:rsidRDefault="00000000" w:rsidP="005203B6">
            <w:pPr>
              <w:spacing w:line="240" w:lineRule="auto"/>
              <w:ind w:left="60" w:right="60"/>
              <w:jc w:val="center"/>
              <w:rPr>
                <w:rFonts w:ascii="Times New Roman" w:hAnsi="Times New Roman" w:cs="Times New Roman"/>
                <w:color w:val="264A60"/>
              </w:rPr>
            </w:pPr>
            <w:r w:rsidRPr="004B27B7">
              <w:rPr>
                <w:rFonts w:ascii="Times New Roman" w:hAnsi="Times New Roman" w:cs="Times New Roman"/>
                <w:color w:val="264A60"/>
              </w:rPr>
              <w:t>t</w:t>
            </w:r>
          </w:p>
        </w:tc>
        <w:tc>
          <w:tcPr>
            <w:tcW w:w="1042" w:type="dxa"/>
            <w:vMerge w:val="restart"/>
            <w:tcBorders>
              <w:top w:val="nil"/>
              <w:left w:val="single" w:sz="8" w:space="0" w:color="E0E0E0"/>
              <w:bottom w:val="nil"/>
              <w:right w:val="nil"/>
              <w:tl2br w:val="nil"/>
              <w:tr2bl w:val="nil"/>
            </w:tcBorders>
            <w:shd w:val="clear" w:color="auto" w:fill="FFFFFF"/>
            <w:vAlign w:val="bottom"/>
          </w:tcPr>
          <w:p w14:paraId="520800F0" w14:textId="77777777" w:rsidR="008775EB" w:rsidRPr="004B27B7" w:rsidRDefault="00000000" w:rsidP="005203B6">
            <w:pPr>
              <w:spacing w:line="240" w:lineRule="auto"/>
              <w:ind w:left="60" w:right="60"/>
              <w:jc w:val="center"/>
              <w:rPr>
                <w:rFonts w:ascii="Times New Roman" w:hAnsi="Times New Roman" w:cs="Times New Roman"/>
                <w:color w:val="264A60"/>
              </w:rPr>
            </w:pPr>
            <w:r w:rsidRPr="004B27B7">
              <w:rPr>
                <w:rFonts w:ascii="Times New Roman" w:hAnsi="Times New Roman" w:cs="Times New Roman"/>
                <w:color w:val="264A60"/>
              </w:rPr>
              <w:t>Sig.</w:t>
            </w:r>
          </w:p>
        </w:tc>
      </w:tr>
      <w:tr w:rsidR="008775EB" w:rsidRPr="004B27B7" w14:paraId="1F8284E9" w14:textId="77777777">
        <w:trPr>
          <w:cantSplit/>
        </w:trPr>
        <w:tc>
          <w:tcPr>
            <w:tcW w:w="1920" w:type="dxa"/>
            <w:gridSpan w:val="2"/>
            <w:vMerge/>
            <w:tcBorders>
              <w:top w:val="nil"/>
              <w:left w:val="nil"/>
              <w:bottom w:val="nil"/>
              <w:right w:val="nil"/>
              <w:tl2br w:val="nil"/>
              <w:tr2bl w:val="nil"/>
            </w:tcBorders>
            <w:shd w:val="clear" w:color="auto" w:fill="FFFFFF"/>
            <w:vAlign w:val="bottom"/>
          </w:tcPr>
          <w:p w14:paraId="0D25EA8E" w14:textId="77777777" w:rsidR="008775EB" w:rsidRPr="004B27B7" w:rsidRDefault="008775EB" w:rsidP="005203B6">
            <w:pPr>
              <w:spacing w:line="240" w:lineRule="auto"/>
              <w:rPr>
                <w:rFonts w:ascii="Times New Roman" w:hAnsi="Times New Roman" w:cs="Times New Roman"/>
                <w:color w:val="264A60"/>
              </w:rPr>
            </w:pPr>
          </w:p>
        </w:tc>
        <w:tc>
          <w:tcPr>
            <w:tcW w:w="1337" w:type="dxa"/>
            <w:tcBorders>
              <w:top w:val="nil"/>
              <w:left w:val="nil"/>
              <w:bottom w:val="single" w:sz="8" w:space="0" w:color="152935"/>
              <w:right w:val="single" w:sz="8" w:space="0" w:color="E0E0E0"/>
              <w:tl2br w:val="nil"/>
              <w:tr2bl w:val="nil"/>
            </w:tcBorders>
            <w:shd w:val="clear" w:color="auto" w:fill="FFFFFF"/>
            <w:vAlign w:val="bottom"/>
          </w:tcPr>
          <w:p w14:paraId="02A400AA" w14:textId="77777777" w:rsidR="008775EB" w:rsidRPr="004B27B7" w:rsidRDefault="00000000" w:rsidP="005203B6">
            <w:pPr>
              <w:spacing w:line="240" w:lineRule="auto"/>
              <w:ind w:left="60" w:right="60"/>
              <w:jc w:val="center"/>
              <w:rPr>
                <w:rFonts w:ascii="Times New Roman" w:hAnsi="Times New Roman" w:cs="Times New Roman"/>
                <w:color w:val="264A60"/>
              </w:rPr>
            </w:pPr>
            <w:r w:rsidRPr="004B27B7">
              <w:rPr>
                <w:rFonts w:ascii="Times New Roman" w:hAnsi="Times New Roman" w:cs="Times New Roman"/>
                <w:color w:val="264A60"/>
              </w:rPr>
              <w:t>B</w:t>
            </w:r>
          </w:p>
        </w:tc>
        <w:tc>
          <w:tcPr>
            <w:tcW w:w="1337" w:type="dxa"/>
            <w:tcBorders>
              <w:top w:val="nil"/>
              <w:left w:val="single" w:sz="8" w:space="0" w:color="E0E0E0"/>
              <w:bottom w:val="single" w:sz="8" w:space="0" w:color="152935"/>
              <w:right w:val="single" w:sz="8" w:space="0" w:color="E0E0E0"/>
              <w:tl2br w:val="nil"/>
              <w:tr2bl w:val="nil"/>
            </w:tcBorders>
            <w:shd w:val="clear" w:color="auto" w:fill="FFFFFF"/>
            <w:vAlign w:val="bottom"/>
          </w:tcPr>
          <w:p w14:paraId="68BA1A46" w14:textId="77777777" w:rsidR="008775EB" w:rsidRPr="004B27B7" w:rsidRDefault="00000000" w:rsidP="005203B6">
            <w:pPr>
              <w:spacing w:line="240" w:lineRule="auto"/>
              <w:ind w:left="60" w:right="60"/>
              <w:jc w:val="center"/>
              <w:rPr>
                <w:rFonts w:ascii="Times New Roman" w:hAnsi="Times New Roman" w:cs="Times New Roman"/>
                <w:color w:val="264A60"/>
              </w:rPr>
            </w:pPr>
            <w:r w:rsidRPr="004B27B7">
              <w:rPr>
                <w:rFonts w:ascii="Times New Roman" w:hAnsi="Times New Roman" w:cs="Times New Roman"/>
                <w:color w:val="264A60"/>
              </w:rPr>
              <w:t>Std. Error</w:t>
            </w:r>
          </w:p>
        </w:tc>
        <w:tc>
          <w:tcPr>
            <w:tcW w:w="2431" w:type="dxa"/>
            <w:tcBorders>
              <w:top w:val="nil"/>
              <w:left w:val="single" w:sz="8" w:space="0" w:color="E0E0E0"/>
              <w:bottom w:val="single" w:sz="8" w:space="0" w:color="152935"/>
              <w:right w:val="single" w:sz="8" w:space="0" w:color="E0E0E0"/>
              <w:tl2br w:val="nil"/>
              <w:tr2bl w:val="nil"/>
            </w:tcBorders>
            <w:shd w:val="clear" w:color="auto" w:fill="FFFFFF"/>
            <w:vAlign w:val="bottom"/>
          </w:tcPr>
          <w:p w14:paraId="468EE931" w14:textId="77777777" w:rsidR="008775EB" w:rsidRPr="004B27B7" w:rsidRDefault="00000000" w:rsidP="005203B6">
            <w:pPr>
              <w:spacing w:line="240" w:lineRule="auto"/>
              <w:ind w:left="60" w:right="60"/>
              <w:jc w:val="center"/>
              <w:rPr>
                <w:rFonts w:ascii="Times New Roman" w:hAnsi="Times New Roman" w:cs="Times New Roman"/>
                <w:color w:val="264A60"/>
              </w:rPr>
            </w:pPr>
            <w:r w:rsidRPr="004B27B7">
              <w:rPr>
                <w:rFonts w:ascii="Times New Roman" w:hAnsi="Times New Roman" w:cs="Times New Roman"/>
                <w:color w:val="264A60"/>
              </w:rPr>
              <w:t>Beta</w:t>
            </w:r>
          </w:p>
        </w:tc>
        <w:tc>
          <w:tcPr>
            <w:tcW w:w="1083" w:type="dxa"/>
            <w:vMerge/>
            <w:tcBorders>
              <w:top w:val="nil"/>
              <w:left w:val="single" w:sz="8" w:space="0" w:color="E0E0E0"/>
              <w:bottom w:val="nil"/>
              <w:right w:val="single" w:sz="8" w:space="0" w:color="E0E0E0"/>
              <w:tl2br w:val="nil"/>
              <w:tr2bl w:val="nil"/>
            </w:tcBorders>
            <w:shd w:val="clear" w:color="auto" w:fill="FFFFFF"/>
            <w:vAlign w:val="bottom"/>
          </w:tcPr>
          <w:p w14:paraId="7394CDA5" w14:textId="77777777" w:rsidR="008775EB" w:rsidRPr="004B27B7" w:rsidRDefault="008775EB" w:rsidP="005203B6">
            <w:pPr>
              <w:spacing w:line="240" w:lineRule="auto"/>
              <w:rPr>
                <w:rFonts w:ascii="Times New Roman" w:hAnsi="Times New Roman" w:cs="Times New Roman"/>
                <w:color w:val="264A60"/>
              </w:rPr>
            </w:pPr>
          </w:p>
        </w:tc>
        <w:tc>
          <w:tcPr>
            <w:tcW w:w="1042" w:type="dxa"/>
            <w:vMerge/>
            <w:tcBorders>
              <w:top w:val="nil"/>
              <w:left w:val="single" w:sz="8" w:space="0" w:color="E0E0E0"/>
              <w:bottom w:val="nil"/>
              <w:right w:val="nil"/>
              <w:tl2br w:val="nil"/>
              <w:tr2bl w:val="nil"/>
            </w:tcBorders>
            <w:shd w:val="clear" w:color="auto" w:fill="FFFFFF"/>
            <w:vAlign w:val="bottom"/>
          </w:tcPr>
          <w:p w14:paraId="2EA232C5" w14:textId="77777777" w:rsidR="008775EB" w:rsidRPr="004B27B7" w:rsidRDefault="008775EB" w:rsidP="005203B6">
            <w:pPr>
              <w:spacing w:line="240" w:lineRule="auto"/>
              <w:rPr>
                <w:rFonts w:ascii="Times New Roman" w:hAnsi="Times New Roman" w:cs="Times New Roman"/>
                <w:color w:val="264A60"/>
              </w:rPr>
            </w:pPr>
          </w:p>
        </w:tc>
      </w:tr>
      <w:tr w:rsidR="008775EB" w:rsidRPr="004B27B7" w14:paraId="4121BFC2" w14:textId="77777777">
        <w:trPr>
          <w:cantSplit/>
        </w:trPr>
        <w:tc>
          <w:tcPr>
            <w:tcW w:w="737" w:type="dxa"/>
            <w:vMerge w:val="restart"/>
            <w:tcBorders>
              <w:top w:val="single" w:sz="8" w:space="0" w:color="152935"/>
              <w:left w:val="nil"/>
              <w:bottom w:val="single" w:sz="8" w:space="0" w:color="152935"/>
              <w:right w:val="nil"/>
              <w:tl2br w:val="nil"/>
              <w:tr2bl w:val="nil"/>
            </w:tcBorders>
            <w:shd w:val="clear" w:color="auto" w:fill="E0E0E0"/>
          </w:tcPr>
          <w:p w14:paraId="6D31B436" w14:textId="77777777" w:rsidR="008775EB" w:rsidRPr="004B27B7" w:rsidRDefault="00000000" w:rsidP="005203B6">
            <w:pPr>
              <w:spacing w:line="240" w:lineRule="auto"/>
              <w:ind w:left="60" w:right="60"/>
              <w:rPr>
                <w:rFonts w:ascii="Times New Roman" w:hAnsi="Times New Roman" w:cs="Times New Roman"/>
                <w:color w:val="264A60"/>
              </w:rPr>
            </w:pPr>
            <w:r w:rsidRPr="004B27B7">
              <w:rPr>
                <w:rFonts w:ascii="Times New Roman" w:hAnsi="Times New Roman" w:cs="Times New Roman"/>
                <w:color w:val="264A60"/>
              </w:rPr>
              <w:t>1</w:t>
            </w:r>
          </w:p>
        </w:tc>
        <w:tc>
          <w:tcPr>
            <w:tcW w:w="1183" w:type="dxa"/>
            <w:tcBorders>
              <w:top w:val="single" w:sz="8" w:space="0" w:color="152935"/>
              <w:left w:val="nil"/>
              <w:bottom w:val="single" w:sz="8" w:space="0" w:color="AEAEAE"/>
              <w:right w:val="nil"/>
              <w:tl2br w:val="nil"/>
              <w:tr2bl w:val="nil"/>
            </w:tcBorders>
            <w:shd w:val="clear" w:color="auto" w:fill="E0E0E0"/>
          </w:tcPr>
          <w:p w14:paraId="26DB6618" w14:textId="77777777" w:rsidR="008775EB" w:rsidRPr="004B27B7" w:rsidRDefault="00000000" w:rsidP="005203B6">
            <w:pPr>
              <w:spacing w:line="240" w:lineRule="auto"/>
              <w:ind w:left="60" w:right="60"/>
              <w:rPr>
                <w:rFonts w:ascii="Times New Roman" w:hAnsi="Times New Roman" w:cs="Times New Roman"/>
                <w:color w:val="264A60"/>
              </w:rPr>
            </w:pPr>
            <w:r w:rsidRPr="004B27B7">
              <w:rPr>
                <w:rFonts w:ascii="Times New Roman" w:hAnsi="Times New Roman" w:cs="Times New Roman"/>
                <w:color w:val="264A60"/>
              </w:rPr>
              <w:t>(Constant)</w:t>
            </w:r>
          </w:p>
        </w:tc>
        <w:tc>
          <w:tcPr>
            <w:tcW w:w="1337" w:type="dxa"/>
            <w:tcBorders>
              <w:top w:val="single" w:sz="8" w:space="0" w:color="152935"/>
              <w:left w:val="nil"/>
              <w:bottom w:val="single" w:sz="8" w:space="0" w:color="AEAEAE"/>
              <w:right w:val="single" w:sz="8" w:space="0" w:color="E0E0E0"/>
              <w:tl2br w:val="nil"/>
              <w:tr2bl w:val="nil"/>
            </w:tcBorders>
            <w:shd w:val="clear" w:color="auto" w:fill="FFFFFF"/>
          </w:tcPr>
          <w:p w14:paraId="49E85E8A" w14:textId="77777777" w:rsidR="008775EB" w:rsidRPr="004B27B7" w:rsidRDefault="00000000" w:rsidP="005203B6">
            <w:pPr>
              <w:spacing w:line="240" w:lineRule="auto"/>
              <w:ind w:left="60" w:right="60"/>
              <w:jc w:val="right"/>
              <w:rPr>
                <w:rFonts w:ascii="Times New Roman" w:hAnsi="Times New Roman" w:cs="Times New Roman"/>
                <w:color w:val="010205"/>
              </w:rPr>
            </w:pPr>
            <w:r w:rsidRPr="004B27B7">
              <w:rPr>
                <w:rFonts w:ascii="Times New Roman" w:hAnsi="Times New Roman" w:cs="Times New Roman"/>
                <w:color w:val="010205"/>
              </w:rPr>
              <w:t>,873</w:t>
            </w:r>
          </w:p>
        </w:tc>
        <w:tc>
          <w:tcPr>
            <w:tcW w:w="1337" w:type="dxa"/>
            <w:tcBorders>
              <w:top w:val="single" w:sz="8" w:space="0" w:color="152935"/>
              <w:left w:val="single" w:sz="8" w:space="0" w:color="E0E0E0"/>
              <w:bottom w:val="single" w:sz="8" w:space="0" w:color="AEAEAE"/>
              <w:right w:val="single" w:sz="8" w:space="0" w:color="E0E0E0"/>
              <w:tl2br w:val="nil"/>
              <w:tr2bl w:val="nil"/>
            </w:tcBorders>
            <w:shd w:val="clear" w:color="auto" w:fill="FFFFFF"/>
          </w:tcPr>
          <w:p w14:paraId="727FBA55" w14:textId="77777777" w:rsidR="008775EB" w:rsidRPr="004B27B7" w:rsidRDefault="00000000" w:rsidP="005203B6">
            <w:pPr>
              <w:spacing w:line="240" w:lineRule="auto"/>
              <w:ind w:left="60" w:right="60"/>
              <w:jc w:val="right"/>
              <w:rPr>
                <w:rFonts w:ascii="Times New Roman" w:hAnsi="Times New Roman" w:cs="Times New Roman"/>
                <w:color w:val="010205"/>
              </w:rPr>
            </w:pPr>
            <w:r w:rsidRPr="004B27B7">
              <w:rPr>
                <w:rFonts w:ascii="Times New Roman" w:hAnsi="Times New Roman" w:cs="Times New Roman"/>
                <w:color w:val="010205"/>
              </w:rPr>
              <w:t>,105</w:t>
            </w:r>
          </w:p>
        </w:tc>
        <w:tc>
          <w:tcPr>
            <w:tcW w:w="2431" w:type="dxa"/>
            <w:tcBorders>
              <w:top w:val="single" w:sz="8" w:space="0" w:color="152935"/>
              <w:left w:val="single" w:sz="8" w:space="0" w:color="E0E0E0"/>
              <w:bottom w:val="single" w:sz="8" w:space="0" w:color="AEAEAE"/>
              <w:right w:val="single" w:sz="8" w:space="0" w:color="E0E0E0"/>
              <w:tl2br w:val="nil"/>
              <w:tr2bl w:val="nil"/>
            </w:tcBorders>
            <w:shd w:val="clear" w:color="auto" w:fill="FFFFFF"/>
            <w:vAlign w:val="center"/>
          </w:tcPr>
          <w:p w14:paraId="291C45CB" w14:textId="77777777" w:rsidR="008775EB" w:rsidRPr="004B27B7" w:rsidRDefault="008775EB" w:rsidP="005203B6">
            <w:pPr>
              <w:spacing w:line="240" w:lineRule="auto"/>
              <w:rPr>
                <w:rFonts w:ascii="Times New Roman" w:hAnsi="Times New Roman" w:cs="Times New Roman"/>
              </w:rPr>
            </w:pPr>
          </w:p>
        </w:tc>
        <w:tc>
          <w:tcPr>
            <w:tcW w:w="1083" w:type="dxa"/>
            <w:tcBorders>
              <w:top w:val="single" w:sz="8" w:space="0" w:color="152935"/>
              <w:left w:val="single" w:sz="8" w:space="0" w:color="E0E0E0"/>
              <w:bottom w:val="single" w:sz="8" w:space="0" w:color="AEAEAE"/>
              <w:right w:val="single" w:sz="8" w:space="0" w:color="E0E0E0"/>
              <w:tl2br w:val="nil"/>
              <w:tr2bl w:val="nil"/>
            </w:tcBorders>
            <w:shd w:val="clear" w:color="auto" w:fill="FFFFFF"/>
          </w:tcPr>
          <w:p w14:paraId="3CAE3A6A" w14:textId="77777777" w:rsidR="008775EB" w:rsidRPr="004B27B7" w:rsidRDefault="00000000" w:rsidP="005203B6">
            <w:pPr>
              <w:spacing w:line="240" w:lineRule="auto"/>
              <w:ind w:left="60" w:right="60"/>
              <w:jc w:val="right"/>
              <w:rPr>
                <w:rFonts w:ascii="Times New Roman" w:hAnsi="Times New Roman" w:cs="Times New Roman"/>
                <w:color w:val="010205"/>
              </w:rPr>
            </w:pPr>
            <w:r w:rsidRPr="004B27B7">
              <w:rPr>
                <w:rFonts w:ascii="Times New Roman" w:hAnsi="Times New Roman" w:cs="Times New Roman"/>
                <w:color w:val="010205"/>
              </w:rPr>
              <w:t>8,344</w:t>
            </w:r>
          </w:p>
        </w:tc>
        <w:tc>
          <w:tcPr>
            <w:tcW w:w="1042" w:type="dxa"/>
            <w:tcBorders>
              <w:top w:val="single" w:sz="8" w:space="0" w:color="152935"/>
              <w:left w:val="single" w:sz="8" w:space="0" w:color="E0E0E0"/>
              <w:bottom w:val="single" w:sz="8" w:space="0" w:color="AEAEAE"/>
              <w:right w:val="nil"/>
              <w:tl2br w:val="nil"/>
              <w:tr2bl w:val="nil"/>
            </w:tcBorders>
            <w:shd w:val="clear" w:color="auto" w:fill="FFFFFF"/>
          </w:tcPr>
          <w:p w14:paraId="0303BACB" w14:textId="77777777" w:rsidR="008775EB" w:rsidRPr="004B27B7" w:rsidRDefault="00000000" w:rsidP="005203B6">
            <w:pPr>
              <w:spacing w:line="240" w:lineRule="auto"/>
              <w:ind w:left="60" w:right="60"/>
              <w:jc w:val="right"/>
              <w:rPr>
                <w:rFonts w:ascii="Times New Roman" w:hAnsi="Times New Roman" w:cs="Times New Roman"/>
                <w:color w:val="010205"/>
              </w:rPr>
            </w:pPr>
            <w:r w:rsidRPr="004B27B7">
              <w:rPr>
                <w:rFonts w:ascii="Times New Roman" w:hAnsi="Times New Roman" w:cs="Times New Roman"/>
                <w:color w:val="010205"/>
              </w:rPr>
              <w:t>,000</w:t>
            </w:r>
          </w:p>
        </w:tc>
      </w:tr>
      <w:tr w:rsidR="008775EB" w:rsidRPr="004B27B7" w14:paraId="65DCE578" w14:textId="77777777">
        <w:trPr>
          <w:cantSplit/>
        </w:trPr>
        <w:tc>
          <w:tcPr>
            <w:tcW w:w="737" w:type="dxa"/>
            <w:vMerge/>
            <w:tcBorders>
              <w:top w:val="single" w:sz="8" w:space="0" w:color="152935"/>
              <w:left w:val="nil"/>
              <w:bottom w:val="single" w:sz="8" w:space="0" w:color="152935"/>
              <w:right w:val="nil"/>
              <w:tl2br w:val="nil"/>
              <w:tr2bl w:val="nil"/>
            </w:tcBorders>
            <w:shd w:val="clear" w:color="auto" w:fill="E0E0E0"/>
          </w:tcPr>
          <w:p w14:paraId="46C6504B" w14:textId="77777777" w:rsidR="008775EB" w:rsidRPr="004B27B7" w:rsidRDefault="008775EB" w:rsidP="005203B6">
            <w:pPr>
              <w:spacing w:line="240" w:lineRule="auto"/>
              <w:rPr>
                <w:rFonts w:ascii="Times New Roman" w:hAnsi="Times New Roman" w:cs="Times New Roman"/>
                <w:color w:val="010205"/>
              </w:rPr>
            </w:pPr>
          </w:p>
        </w:tc>
        <w:tc>
          <w:tcPr>
            <w:tcW w:w="1183" w:type="dxa"/>
            <w:tcBorders>
              <w:top w:val="single" w:sz="8" w:space="0" w:color="AEAEAE"/>
              <w:left w:val="nil"/>
              <w:bottom w:val="single" w:sz="8" w:space="0" w:color="152935"/>
              <w:right w:val="nil"/>
              <w:tl2br w:val="nil"/>
              <w:tr2bl w:val="nil"/>
            </w:tcBorders>
            <w:shd w:val="clear" w:color="auto" w:fill="E0E0E0"/>
          </w:tcPr>
          <w:p w14:paraId="41031D6B" w14:textId="77777777" w:rsidR="008775EB" w:rsidRPr="004B27B7" w:rsidRDefault="00000000" w:rsidP="005203B6">
            <w:pPr>
              <w:spacing w:line="240" w:lineRule="auto"/>
              <w:ind w:left="60" w:right="60"/>
              <w:rPr>
                <w:rFonts w:ascii="Times New Roman" w:hAnsi="Times New Roman" w:cs="Times New Roman"/>
                <w:color w:val="264A60"/>
              </w:rPr>
            </w:pPr>
            <w:r w:rsidRPr="004B27B7">
              <w:rPr>
                <w:rFonts w:ascii="Times New Roman" w:hAnsi="Times New Roman" w:cs="Times New Roman"/>
                <w:color w:val="264A60"/>
              </w:rPr>
              <w:t>GA</w:t>
            </w:r>
          </w:p>
        </w:tc>
        <w:tc>
          <w:tcPr>
            <w:tcW w:w="1337" w:type="dxa"/>
            <w:tcBorders>
              <w:top w:val="single" w:sz="8" w:space="0" w:color="AEAEAE"/>
              <w:left w:val="nil"/>
              <w:bottom w:val="single" w:sz="8" w:space="0" w:color="152935"/>
              <w:right w:val="single" w:sz="8" w:space="0" w:color="E0E0E0"/>
              <w:tl2br w:val="nil"/>
              <w:tr2bl w:val="nil"/>
            </w:tcBorders>
            <w:shd w:val="clear" w:color="auto" w:fill="FFFFFF"/>
          </w:tcPr>
          <w:p w14:paraId="2F8C7959" w14:textId="77777777" w:rsidR="008775EB" w:rsidRPr="004B27B7" w:rsidRDefault="00000000" w:rsidP="005203B6">
            <w:pPr>
              <w:spacing w:line="240" w:lineRule="auto"/>
              <w:ind w:left="60" w:right="60"/>
              <w:jc w:val="right"/>
              <w:rPr>
                <w:rFonts w:ascii="Times New Roman" w:hAnsi="Times New Roman" w:cs="Times New Roman"/>
                <w:color w:val="010205"/>
              </w:rPr>
            </w:pPr>
            <w:r w:rsidRPr="004B27B7">
              <w:rPr>
                <w:rFonts w:ascii="Times New Roman" w:hAnsi="Times New Roman" w:cs="Times New Roman"/>
                <w:color w:val="010205"/>
              </w:rPr>
              <w:t>4,057</w:t>
            </w:r>
          </w:p>
        </w:tc>
        <w:tc>
          <w:tcPr>
            <w:tcW w:w="1337" w:type="dxa"/>
            <w:tcBorders>
              <w:top w:val="single" w:sz="8" w:space="0" w:color="AEAEAE"/>
              <w:left w:val="single" w:sz="8" w:space="0" w:color="E0E0E0"/>
              <w:bottom w:val="single" w:sz="8" w:space="0" w:color="152935"/>
              <w:right w:val="single" w:sz="8" w:space="0" w:color="E0E0E0"/>
              <w:tl2br w:val="nil"/>
              <w:tr2bl w:val="nil"/>
            </w:tcBorders>
            <w:shd w:val="clear" w:color="auto" w:fill="FFFFFF"/>
          </w:tcPr>
          <w:p w14:paraId="3B181F41" w14:textId="77777777" w:rsidR="008775EB" w:rsidRPr="004B27B7" w:rsidRDefault="00000000" w:rsidP="005203B6">
            <w:pPr>
              <w:spacing w:line="240" w:lineRule="auto"/>
              <w:ind w:left="60" w:right="60"/>
              <w:jc w:val="right"/>
              <w:rPr>
                <w:rFonts w:ascii="Times New Roman" w:hAnsi="Times New Roman" w:cs="Times New Roman"/>
                <w:color w:val="010205"/>
              </w:rPr>
            </w:pPr>
            <w:r w:rsidRPr="004B27B7">
              <w:rPr>
                <w:rFonts w:ascii="Times New Roman" w:hAnsi="Times New Roman" w:cs="Times New Roman"/>
                <w:color w:val="010205"/>
              </w:rPr>
              <w:t>3,161</w:t>
            </w:r>
          </w:p>
        </w:tc>
        <w:tc>
          <w:tcPr>
            <w:tcW w:w="2431" w:type="dxa"/>
            <w:tcBorders>
              <w:top w:val="single" w:sz="8" w:space="0" w:color="AEAEAE"/>
              <w:left w:val="single" w:sz="8" w:space="0" w:color="E0E0E0"/>
              <w:bottom w:val="single" w:sz="8" w:space="0" w:color="152935"/>
              <w:right w:val="single" w:sz="8" w:space="0" w:color="E0E0E0"/>
              <w:tl2br w:val="nil"/>
              <w:tr2bl w:val="nil"/>
            </w:tcBorders>
            <w:shd w:val="clear" w:color="auto" w:fill="FFFFFF"/>
          </w:tcPr>
          <w:p w14:paraId="2773C4E0" w14:textId="77777777" w:rsidR="008775EB" w:rsidRPr="004B27B7" w:rsidRDefault="00000000" w:rsidP="005203B6">
            <w:pPr>
              <w:spacing w:line="240" w:lineRule="auto"/>
              <w:ind w:left="60" w:right="60"/>
              <w:jc w:val="right"/>
              <w:rPr>
                <w:rFonts w:ascii="Times New Roman" w:hAnsi="Times New Roman" w:cs="Times New Roman"/>
                <w:color w:val="010205"/>
              </w:rPr>
            </w:pPr>
            <w:r w:rsidRPr="004B27B7">
              <w:rPr>
                <w:rFonts w:ascii="Times New Roman" w:hAnsi="Times New Roman" w:cs="Times New Roman"/>
                <w:color w:val="010205"/>
              </w:rPr>
              <w:t>,165</w:t>
            </w:r>
          </w:p>
        </w:tc>
        <w:tc>
          <w:tcPr>
            <w:tcW w:w="1083" w:type="dxa"/>
            <w:tcBorders>
              <w:top w:val="single" w:sz="8" w:space="0" w:color="AEAEAE"/>
              <w:left w:val="single" w:sz="8" w:space="0" w:color="E0E0E0"/>
              <w:bottom w:val="single" w:sz="8" w:space="0" w:color="152935"/>
              <w:right w:val="single" w:sz="8" w:space="0" w:color="E0E0E0"/>
              <w:tl2br w:val="nil"/>
              <w:tr2bl w:val="nil"/>
            </w:tcBorders>
            <w:shd w:val="clear" w:color="auto" w:fill="FFFFFF"/>
          </w:tcPr>
          <w:p w14:paraId="1F548B10" w14:textId="77777777" w:rsidR="008775EB" w:rsidRPr="004B27B7" w:rsidRDefault="00000000" w:rsidP="005203B6">
            <w:pPr>
              <w:spacing w:line="240" w:lineRule="auto"/>
              <w:ind w:left="60" w:right="60"/>
              <w:jc w:val="right"/>
              <w:rPr>
                <w:rFonts w:ascii="Times New Roman" w:hAnsi="Times New Roman" w:cs="Times New Roman"/>
                <w:color w:val="010205"/>
              </w:rPr>
            </w:pPr>
            <w:r w:rsidRPr="004B27B7">
              <w:rPr>
                <w:rFonts w:ascii="Times New Roman" w:hAnsi="Times New Roman" w:cs="Times New Roman"/>
                <w:color w:val="010205"/>
              </w:rPr>
              <w:t>1,283</w:t>
            </w:r>
          </w:p>
        </w:tc>
        <w:tc>
          <w:tcPr>
            <w:tcW w:w="1042" w:type="dxa"/>
            <w:tcBorders>
              <w:top w:val="single" w:sz="8" w:space="0" w:color="AEAEAE"/>
              <w:left w:val="single" w:sz="8" w:space="0" w:color="E0E0E0"/>
              <w:bottom w:val="single" w:sz="8" w:space="0" w:color="152935"/>
              <w:right w:val="nil"/>
              <w:tl2br w:val="nil"/>
              <w:tr2bl w:val="nil"/>
            </w:tcBorders>
            <w:shd w:val="clear" w:color="auto" w:fill="FFFFFF"/>
          </w:tcPr>
          <w:p w14:paraId="09679572" w14:textId="77777777" w:rsidR="008775EB" w:rsidRPr="004B27B7" w:rsidRDefault="00000000" w:rsidP="005203B6">
            <w:pPr>
              <w:spacing w:line="240" w:lineRule="auto"/>
              <w:ind w:left="60" w:right="60"/>
              <w:jc w:val="right"/>
              <w:rPr>
                <w:rFonts w:ascii="Times New Roman" w:hAnsi="Times New Roman" w:cs="Times New Roman"/>
                <w:color w:val="010205"/>
              </w:rPr>
            </w:pPr>
            <w:r w:rsidRPr="004B27B7">
              <w:rPr>
                <w:rFonts w:ascii="Times New Roman" w:hAnsi="Times New Roman" w:cs="Times New Roman"/>
                <w:color w:val="010205"/>
              </w:rPr>
              <w:t>,204</w:t>
            </w:r>
          </w:p>
        </w:tc>
      </w:tr>
      <w:tr w:rsidR="008775EB" w:rsidRPr="004B27B7" w14:paraId="73D71D56" w14:textId="77777777">
        <w:trPr>
          <w:cantSplit/>
        </w:trPr>
        <w:tc>
          <w:tcPr>
            <w:tcW w:w="9150" w:type="dxa"/>
            <w:gridSpan w:val="7"/>
            <w:tcBorders>
              <w:top w:val="nil"/>
              <w:left w:val="nil"/>
              <w:bottom w:val="nil"/>
              <w:right w:val="nil"/>
              <w:tl2br w:val="nil"/>
              <w:tr2bl w:val="nil"/>
            </w:tcBorders>
            <w:shd w:val="clear" w:color="auto" w:fill="FFFFFF"/>
          </w:tcPr>
          <w:p w14:paraId="665C0921" w14:textId="77777777" w:rsidR="008775EB" w:rsidRPr="004B27B7" w:rsidRDefault="00000000" w:rsidP="005203B6">
            <w:pPr>
              <w:spacing w:line="240" w:lineRule="auto"/>
              <w:ind w:left="60" w:right="60"/>
              <w:rPr>
                <w:rFonts w:ascii="Times New Roman" w:hAnsi="Times New Roman" w:cs="Times New Roman"/>
                <w:color w:val="010205"/>
              </w:rPr>
            </w:pPr>
            <w:r w:rsidRPr="004B27B7">
              <w:rPr>
                <w:rFonts w:ascii="Times New Roman" w:hAnsi="Times New Roman" w:cs="Times New Roman"/>
                <w:color w:val="010205"/>
              </w:rPr>
              <w:t>a. Dependent Variable: ABS_RES2</w:t>
            </w:r>
          </w:p>
        </w:tc>
      </w:tr>
    </w:tbl>
    <w:p w14:paraId="1E8D7118" w14:textId="77777777" w:rsidR="008775EB" w:rsidRPr="004B27B7" w:rsidRDefault="00000000" w:rsidP="004B27B7">
      <w:pPr>
        <w:spacing w:line="360" w:lineRule="auto"/>
        <w:jc w:val="both"/>
        <w:rPr>
          <w:rFonts w:ascii="Times New Roman" w:hAnsi="Times New Roman" w:cs="Times New Roman"/>
          <w:i/>
          <w:iCs/>
          <w:sz w:val="24"/>
          <w:szCs w:val="24"/>
        </w:rPr>
      </w:pPr>
      <w:r w:rsidRPr="004B27B7">
        <w:rPr>
          <w:rFonts w:ascii="Times New Roman" w:hAnsi="Times New Roman" w:cs="Times New Roman"/>
          <w:i/>
          <w:iCs/>
          <w:sz w:val="24"/>
          <w:szCs w:val="24"/>
        </w:rPr>
        <w:t>Sumber: Output SPSS 26, Data sekunder telah diolah</w:t>
      </w:r>
    </w:p>
    <w:p w14:paraId="2DF116A8" w14:textId="2DF6D33C" w:rsidR="004B27B7" w:rsidRPr="004B27B7" w:rsidRDefault="00000000" w:rsidP="004B27B7">
      <w:pPr>
        <w:spacing w:line="360" w:lineRule="auto"/>
        <w:ind w:firstLine="720"/>
        <w:jc w:val="both"/>
        <w:rPr>
          <w:rFonts w:ascii="Times New Roman" w:hAnsi="Times New Roman" w:cs="Times New Roman"/>
          <w:sz w:val="24"/>
          <w:szCs w:val="24"/>
        </w:rPr>
      </w:pPr>
      <w:r w:rsidRPr="004B27B7">
        <w:rPr>
          <w:rFonts w:ascii="Times New Roman" w:hAnsi="Times New Roman" w:cs="Times New Roman"/>
          <w:sz w:val="24"/>
          <w:szCs w:val="24"/>
        </w:rPr>
        <w:t>Berdasarkan hasil Uji Heteroskedastisitas nilai pada variabel memiliki nilai yang lebih besar dari 0,05, yaitu 0.204 &gt; 0,05. Sehingga keputusan yang diambil yakni tidak terjadinya gejala heteroskedastisitas atau asumsi uji heteroskedastisitas sudah terpenuhi.</w:t>
      </w:r>
    </w:p>
    <w:p w14:paraId="5A938FD3" w14:textId="77777777" w:rsidR="00177DFC" w:rsidRDefault="00177DFC" w:rsidP="004B27B7">
      <w:pPr>
        <w:spacing w:line="360" w:lineRule="auto"/>
        <w:jc w:val="center"/>
        <w:rPr>
          <w:rFonts w:ascii="Times New Roman" w:hAnsi="Times New Roman" w:cs="Times New Roman"/>
          <w:b/>
          <w:bCs/>
          <w:sz w:val="24"/>
          <w:szCs w:val="24"/>
        </w:rPr>
      </w:pPr>
    </w:p>
    <w:p w14:paraId="140D617A" w14:textId="717CC4B7" w:rsidR="008775EB" w:rsidRPr="004B27B7" w:rsidRDefault="00000000" w:rsidP="004B27B7">
      <w:pPr>
        <w:spacing w:line="360" w:lineRule="auto"/>
        <w:jc w:val="center"/>
        <w:rPr>
          <w:rFonts w:ascii="Times New Roman" w:hAnsi="Times New Roman" w:cs="Times New Roman"/>
          <w:sz w:val="24"/>
          <w:szCs w:val="24"/>
        </w:rPr>
      </w:pPr>
      <w:r w:rsidRPr="004B27B7">
        <w:rPr>
          <w:rFonts w:ascii="Times New Roman" w:hAnsi="Times New Roman" w:cs="Times New Roman"/>
          <w:b/>
          <w:bCs/>
          <w:sz w:val="24"/>
          <w:szCs w:val="24"/>
        </w:rPr>
        <w:lastRenderedPageBreak/>
        <w:t xml:space="preserve">Tabel 4.6 Uji Analisis </w:t>
      </w:r>
      <w:r w:rsidRPr="004B27B7">
        <w:rPr>
          <w:rFonts w:ascii="Times New Roman" w:eastAsia="Cambria" w:hAnsi="Times New Roman" w:cs="Times New Roman"/>
          <w:b/>
          <w:bCs/>
          <w:color w:val="000000"/>
          <w:sz w:val="24"/>
          <w:szCs w:val="24"/>
          <w:lang w:eastAsia="zh-CN" w:bidi="ar"/>
        </w:rPr>
        <w:t>Regresi Linear Sederhana</w:t>
      </w:r>
    </w:p>
    <w:tbl>
      <w:tblPr>
        <w:tblW w:w="91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7"/>
        <w:gridCol w:w="1183"/>
        <w:gridCol w:w="1337"/>
        <w:gridCol w:w="1337"/>
        <w:gridCol w:w="2636"/>
        <w:gridCol w:w="992"/>
        <w:gridCol w:w="928"/>
      </w:tblGrid>
      <w:tr w:rsidR="008775EB" w:rsidRPr="004B27B7" w14:paraId="0DEC2EDA" w14:textId="77777777">
        <w:trPr>
          <w:cantSplit/>
        </w:trPr>
        <w:tc>
          <w:tcPr>
            <w:tcW w:w="9150" w:type="dxa"/>
            <w:gridSpan w:val="7"/>
            <w:tcBorders>
              <w:top w:val="nil"/>
              <w:left w:val="nil"/>
              <w:bottom w:val="nil"/>
              <w:right w:val="nil"/>
              <w:tl2br w:val="nil"/>
              <w:tr2bl w:val="nil"/>
            </w:tcBorders>
            <w:shd w:val="clear" w:color="auto" w:fill="FFFFFF"/>
            <w:vAlign w:val="center"/>
          </w:tcPr>
          <w:p w14:paraId="6061404A" w14:textId="77777777" w:rsidR="008775EB" w:rsidRPr="004B27B7" w:rsidRDefault="00000000" w:rsidP="005203B6">
            <w:pPr>
              <w:spacing w:line="240" w:lineRule="auto"/>
              <w:ind w:left="60" w:right="60"/>
              <w:jc w:val="center"/>
              <w:rPr>
                <w:rFonts w:ascii="Times New Roman" w:hAnsi="Times New Roman" w:cs="Times New Roman"/>
                <w:color w:val="010205"/>
              </w:rPr>
            </w:pPr>
            <w:r w:rsidRPr="004B27B7">
              <w:rPr>
                <w:rFonts w:ascii="Times New Roman" w:hAnsi="Times New Roman" w:cs="Times New Roman"/>
                <w:b/>
                <w:color w:val="010205"/>
              </w:rPr>
              <w:t>Coefficients</w:t>
            </w:r>
            <w:r w:rsidRPr="004B27B7">
              <w:rPr>
                <w:rFonts w:ascii="Times New Roman" w:hAnsi="Times New Roman" w:cs="Times New Roman"/>
                <w:b/>
                <w:color w:val="010205"/>
                <w:vertAlign w:val="superscript"/>
              </w:rPr>
              <w:t>a</w:t>
            </w:r>
          </w:p>
        </w:tc>
      </w:tr>
      <w:tr w:rsidR="008775EB" w:rsidRPr="004B27B7" w14:paraId="26905674" w14:textId="77777777" w:rsidTr="004B27B7">
        <w:trPr>
          <w:cantSplit/>
        </w:trPr>
        <w:tc>
          <w:tcPr>
            <w:tcW w:w="1920" w:type="dxa"/>
            <w:gridSpan w:val="2"/>
            <w:vMerge w:val="restart"/>
            <w:tcBorders>
              <w:top w:val="nil"/>
              <w:left w:val="nil"/>
              <w:bottom w:val="nil"/>
              <w:right w:val="nil"/>
              <w:tl2br w:val="nil"/>
              <w:tr2bl w:val="nil"/>
            </w:tcBorders>
            <w:shd w:val="clear" w:color="auto" w:fill="FFFFFF"/>
            <w:vAlign w:val="bottom"/>
          </w:tcPr>
          <w:p w14:paraId="38CE1E1D" w14:textId="77777777" w:rsidR="008775EB" w:rsidRPr="004B27B7" w:rsidRDefault="00000000" w:rsidP="005203B6">
            <w:pPr>
              <w:spacing w:line="240" w:lineRule="auto"/>
              <w:ind w:left="60" w:right="60"/>
              <w:rPr>
                <w:rFonts w:ascii="Times New Roman" w:hAnsi="Times New Roman" w:cs="Times New Roman"/>
                <w:color w:val="264A60"/>
              </w:rPr>
            </w:pPr>
            <w:r w:rsidRPr="004B27B7">
              <w:rPr>
                <w:rFonts w:ascii="Times New Roman" w:hAnsi="Times New Roman" w:cs="Times New Roman"/>
                <w:color w:val="264A60"/>
              </w:rPr>
              <w:t>Model</w:t>
            </w:r>
          </w:p>
        </w:tc>
        <w:tc>
          <w:tcPr>
            <w:tcW w:w="2674" w:type="dxa"/>
            <w:gridSpan w:val="2"/>
            <w:tcBorders>
              <w:top w:val="nil"/>
              <w:left w:val="nil"/>
              <w:bottom w:val="nil"/>
              <w:right w:val="single" w:sz="8" w:space="0" w:color="E0E0E0"/>
              <w:tl2br w:val="nil"/>
              <w:tr2bl w:val="nil"/>
            </w:tcBorders>
            <w:shd w:val="clear" w:color="auto" w:fill="FFFFFF"/>
            <w:vAlign w:val="bottom"/>
          </w:tcPr>
          <w:p w14:paraId="56660BDC" w14:textId="77777777" w:rsidR="008775EB" w:rsidRPr="004B27B7" w:rsidRDefault="00000000" w:rsidP="005203B6">
            <w:pPr>
              <w:spacing w:line="240" w:lineRule="auto"/>
              <w:ind w:left="60" w:right="60"/>
              <w:jc w:val="center"/>
              <w:rPr>
                <w:rFonts w:ascii="Times New Roman" w:hAnsi="Times New Roman" w:cs="Times New Roman"/>
                <w:color w:val="264A60"/>
              </w:rPr>
            </w:pPr>
            <w:r w:rsidRPr="004B27B7">
              <w:rPr>
                <w:rFonts w:ascii="Times New Roman" w:hAnsi="Times New Roman" w:cs="Times New Roman"/>
                <w:color w:val="264A60"/>
              </w:rPr>
              <w:t>Unstandardized Coefficients</w:t>
            </w:r>
          </w:p>
        </w:tc>
        <w:tc>
          <w:tcPr>
            <w:tcW w:w="2636" w:type="dxa"/>
            <w:tcBorders>
              <w:top w:val="nil"/>
              <w:left w:val="single" w:sz="8" w:space="0" w:color="E0E0E0"/>
              <w:bottom w:val="nil"/>
              <w:right w:val="single" w:sz="8" w:space="0" w:color="E0E0E0"/>
              <w:tl2br w:val="nil"/>
              <w:tr2bl w:val="nil"/>
            </w:tcBorders>
            <w:shd w:val="clear" w:color="auto" w:fill="FFFFFF"/>
            <w:vAlign w:val="bottom"/>
          </w:tcPr>
          <w:p w14:paraId="23E1E225" w14:textId="77777777" w:rsidR="008775EB" w:rsidRPr="004B27B7" w:rsidRDefault="00000000" w:rsidP="005203B6">
            <w:pPr>
              <w:spacing w:line="240" w:lineRule="auto"/>
              <w:ind w:left="60" w:right="60"/>
              <w:jc w:val="center"/>
              <w:rPr>
                <w:rFonts w:ascii="Times New Roman" w:hAnsi="Times New Roman" w:cs="Times New Roman"/>
                <w:color w:val="264A60"/>
              </w:rPr>
            </w:pPr>
            <w:r w:rsidRPr="004B27B7">
              <w:rPr>
                <w:rFonts w:ascii="Times New Roman" w:hAnsi="Times New Roman" w:cs="Times New Roman"/>
                <w:color w:val="264A60"/>
              </w:rPr>
              <w:t>Standardized Coefficients</w:t>
            </w:r>
          </w:p>
        </w:tc>
        <w:tc>
          <w:tcPr>
            <w:tcW w:w="992" w:type="dxa"/>
            <w:vMerge w:val="restart"/>
            <w:tcBorders>
              <w:top w:val="nil"/>
              <w:left w:val="single" w:sz="8" w:space="0" w:color="E0E0E0"/>
              <w:bottom w:val="nil"/>
              <w:right w:val="single" w:sz="8" w:space="0" w:color="E0E0E0"/>
              <w:tl2br w:val="nil"/>
              <w:tr2bl w:val="nil"/>
            </w:tcBorders>
            <w:shd w:val="clear" w:color="auto" w:fill="FFFFFF"/>
            <w:vAlign w:val="bottom"/>
          </w:tcPr>
          <w:p w14:paraId="2BAD7C82" w14:textId="77777777" w:rsidR="008775EB" w:rsidRPr="004B27B7" w:rsidRDefault="00000000" w:rsidP="005203B6">
            <w:pPr>
              <w:spacing w:line="240" w:lineRule="auto"/>
              <w:ind w:left="60" w:right="60"/>
              <w:jc w:val="center"/>
              <w:rPr>
                <w:rFonts w:ascii="Times New Roman" w:hAnsi="Times New Roman" w:cs="Times New Roman"/>
                <w:color w:val="264A60"/>
              </w:rPr>
            </w:pPr>
            <w:r w:rsidRPr="004B27B7">
              <w:rPr>
                <w:rFonts w:ascii="Times New Roman" w:hAnsi="Times New Roman" w:cs="Times New Roman"/>
                <w:color w:val="264A60"/>
              </w:rPr>
              <w:t>t</w:t>
            </w:r>
          </w:p>
        </w:tc>
        <w:tc>
          <w:tcPr>
            <w:tcW w:w="928" w:type="dxa"/>
            <w:vMerge w:val="restart"/>
            <w:tcBorders>
              <w:top w:val="nil"/>
              <w:left w:val="single" w:sz="8" w:space="0" w:color="E0E0E0"/>
              <w:bottom w:val="nil"/>
              <w:right w:val="nil"/>
              <w:tl2br w:val="nil"/>
              <w:tr2bl w:val="nil"/>
            </w:tcBorders>
            <w:shd w:val="clear" w:color="auto" w:fill="FFFFFF"/>
            <w:vAlign w:val="bottom"/>
          </w:tcPr>
          <w:p w14:paraId="398E639D" w14:textId="77777777" w:rsidR="008775EB" w:rsidRPr="004B27B7" w:rsidRDefault="00000000" w:rsidP="005203B6">
            <w:pPr>
              <w:spacing w:line="240" w:lineRule="auto"/>
              <w:ind w:left="60" w:right="60"/>
              <w:jc w:val="center"/>
              <w:rPr>
                <w:rFonts w:ascii="Times New Roman" w:hAnsi="Times New Roman" w:cs="Times New Roman"/>
                <w:color w:val="264A60"/>
              </w:rPr>
            </w:pPr>
            <w:r w:rsidRPr="004B27B7">
              <w:rPr>
                <w:rFonts w:ascii="Times New Roman" w:hAnsi="Times New Roman" w:cs="Times New Roman"/>
                <w:color w:val="264A60"/>
              </w:rPr>
              <w:t>Sig.</w:t>
            </w:r>
          </w:p>
        </w:tc>
      </w:tr>
      <w:tr w:rsidR="008775EB" w:rsidRPr="004B27B7" w14:paraId="5007FD72" w14:textId="77777777" w:rsidTr="004B27B7">
        <w:trPr>
          <w:cantSplit/>
        </w:trPr>
        <w:tc>
          <w:tcPr>
            <w:tcW w:w="1920" w:type="dxa"/>
            <w:gridSpan w:val="2"/>
            <w:vMerge/>
            <w:tcBorders>
              <w:top w:val="nil"/>
              <w:left w:val="nil"/>
              <w:bottom w:val="nil"/>
              <w:right w:val="nil"/>
              <w:tl2br w:val="nil"/>
              <w:tr2bl w:val="nil"/>
            </w:tcBorders>
            <w:shd w:val="clear" w:color="auto" w:fill="FFFFFF"/>
            <w:vAlign w:val="bottom"/>
          </w:tcPr>
          <w:p w14:paraId="0A516082" w14:textId="77777777" w:rsidR="008775EB" w:rsidRPr="004B27B7" w:rsidRDefault="008775EB" w:rsidP="005203B6">
            <w:pPr>
              <w:spacing w:line="240" w:lineRule="auto"/>
              <w:rPr>
                <w:rFonts w:ascii="Times New Roman" w:hAnsi="Times New Roman" w:cs="Times New Roman"/>
                <w:color w:val="264A60"/>
              </w:rPr>
            </w:pPr>
          </w:p>
        </w:tc>
        <w:tc>
          <w:tcPr>
            <w:tcW w:w="1337" w:type="dxa"/>
            <w:tcBorders>
              <w:top w:val="nil"/>
              <w:left w:val="nil"/>
              <w:bottom w:val="single" w:sz="8" w:space="0" w:color="152935"/>
              <w:right w:val="single" w:sz="8" w:space="0" w:color="E0E0E0"/>
              <w:tl2br w:val="nil"/>
              <w:tr2bl w:val="nil"/>
            </w:tcBorders>
            <w:shd w:val="clear" w:color="auto" w:fill="FFFFFF"/>
            <w:vAlign w:val="bottom"/>
          </w:tcPr>
          <w:p w14:paraId="6EF00FD3" w14:textId="77777777" w:rsidR="008775EB" w:rsidRPr="004B27B7" w:rsidRDefault="00000000" w:rsidP="005203B6">
            <w:pPr>
              <w:spacing w:line="240" w:lineRule="auto"/>
              <w:ind w:left="60" w:right="60"/>
              <w:jc w:val="center"/>
              <w:rPr>
                <w:rFonts w:ascii="Times New Roman" w:hAnsi="Times New Roman" w:cs="Times New Roman"/>
                <w:color w:val="264A60"/>
              </w:rPr>
            </w:pPr>
            <w:r w:rsidRPr="004B27B7">
              <w:rPr>
                <w:rFonts w:ascii="Times New Roman" w:hAnsi="Times New Roman" w:cs="Times New Roman"/>
                <w:color w:val="264A60"/>
              </w:rPr>
              <w:t>B</w:t>
            </w:r>
          </w:p>
        </w:tc>
        <w:tc>
          <w:tcPr>
            <w:tcW w:w="1337" w:type="dxa"/>
            <w:tcBorders>
              <w:top w:val="nil"/>
              <w:left w:val="single" w:sz="8" w:space="0" w:color="E0E0E0"/>
              <w:bottom w:val="single" w:sz="8" w:space="0" w:color="152935"/>
              <w:right w:val="single" w:sz="8" w:space="0" w:color="E0E0E0"/>
              <w:tl2br w:val="nil"/>
              <w:tr2bl w:val="nil"/>
            </w:tcBorders>
            <w:shd w:val="clear" w:color="auto" w:fill="FFFFFF"/>
            <w:vAlign w:val="bottom"/>
          </w:tcPr>
          <w:p w14:paraId="0A9BFF20" w14:textId="77777777" w:rsidR="008775EB" w:rsidRPr="004B27B7" w:rsidRDefault="00000000" w:rsidP="005203B6">
            <w:pPr>
              <w:spacing w:line="240" w:lineRule="auto"/>
              <w:ind w:left="60" w:right="60"/>
              <w:jc w:val="center"/>
              <w:rPr>
                <w:rFonts w:ascii="Times New Roman" w:hAnsi="Times New Roman" w:cs="Times New Roman"/>
                <w:color w:val="264A60"/>
              </w:rPr>
            </w:pPr>
            <w:r w:rsidRPr="004B27B7">
              <w:rPr>
                <w:rFonts w:ascii="Times New Roman" w:hAnsi="Times New Roman" w:cs="Times New Roman"/>
                <w:color w:val="264A60"/>
              </w:rPr>
              <w:t>Std. Error</w:t>
            </w:r>
          </w:p>
        </w:tc>
        <w:tc>
          <w:tcPr>
            <w:tcW w:w="2636" w:type="dxa"/>
            <w:tcBorders>
              <w:top w:val="nil"/>
              <w:left w:val="single" w:sz="8" w:space="0" w:color="E0E0E0"/>
              <w:bottom w:val="single" w:sz="8" w:space="0" w:color="152935"/>
              <w:right w:val="single" w:sz="8" w:space="0" w:color="E0E0E0"/>
              <w:tl2br w:val="nil"/>
              <w:tr2bl w:val="nil"/>
            </w:tcBorders>
            <w:shd w:val="clear" w:color="auto" w:fill="FFFFFF"/>
            <w:vAlign w:val="bottom"/>
          </w:tcPr>
          <w:p w14:paraId="1D9730A4" w14:textId="77777777" w:rsidR="008775EB" w:rsidRPr="004B27B7" w:rsidRDefault="00000000" w:rsidP="005203B6">
            <w:pPr>
              <w:spacing w:line="240" w:lineRule="auto"/>
              <w:ind w:left="60" w:right="60"/>
              <w:jc w:val="center"/>
              <w:rPr>
                <w:rFonts w:ascii="Times New Roman" w:hAnsi="Times New Roman" w:cs="Times New Roman"/>
                <w:color w:val="264A60"/>
              </w:rPr>
            </w:pPr>
            <w:r w:rsidRPr="004B27B7">
              <w:rPr>
                <w:rFonts w:ascii="Times New Roman" w:hAnsi="Times New Roman" w:cs="Times New Roman"/>
                <w:color w:val="264A60"/>
              </w:rPr>
              <w:t>Beta</w:t>
            </w:r>
          </w:p>
        </w:tc>
        <w:tc>
          <w:tcPr>
            <w:tcW w:w="992" w:type="dxa"/>
            <w:vMerge/>
            <w:tcBorders>
              <w:top w:val="nil"/>
              <w:left w:val="single" w:sz="8" w:space="0" w:color="E0E0E0"/>
              <w:bottom w:val="nil"/>
              <w:right w:val="single" w:sz="8" w:space="0" w:color="E0E0E0"/>
              <w:tl2br w:val="nil"/>
              <w:tr2bl w:val="nil"/>
            </w:tcBorders>
            <w:shd w:val="clear" w:color="auto" w:fill="FFFFFF"/>
            <w:vAlign w:val="bottom"/>
          </w:tcPr>
          <w:p w14:paraId="4C31B807" w14:textId="77777777" w:rsidR="008775EB" w:rsidRPr="004B27B7" w:rsidRDefault="008775EB" w:rsidP="005203B6">
            <w:pPr>
              <w:spacing w:line="240" w:lineRule="auto"/>
              <w:rPr>
                <w:rFonts w:ascii="Times New Roman" w:hAnsi="Times New Roman" w:cs="Times New Roman"/>
                <w:color w:val="264A60"/>
              </w:rPr>
            </w:pPr>
          </w:p>
        </w:tc>
        <w:tc>
          <w:tcPr>
            <w:tcW w:w="928" w:type="dxa"/>
            <w:vMerge/>
            <w:tcBorders>
              <w:top w:val="nil"/>
              <w:left w:val="single" w:sz="8" w:space="0" w:color="E0E0E0"/>
              <w:bottom w:val="nil"/>
              <w:right w:val="nil"/>
              <w:tl2br w:val="nil"/>
              <w:tr2bl w:val="nil"/>
            </w:tcBorders>
            <w:shd w:val="clear" w:color="auto" w:fill="FFFFFF"/>
            <w:vAlign w:val="bottom"/>
          </w:tcPr>
          <w:p w14:paraId="2A6DC414" w14:textId="77777777" w:rsidR="008775EB" w:rsidRPr="004B27B7" w:rsidRDefault="008775EB" w:rsidP="005203B6">
            <w:pPr>
              <w:spacing w:line="240" w:lineRule="auto"/>
              <w:rPr>
                <w:rFonts w:ascii="Times New Roman" w:hAnsi="Times New Roman" w:cs="Times New Roman"/>
                <w:color w:val="264A60"/>
              </w:rPr>
            </w:pPr>
          </w:p>
        </w:tc>
      </w:tr>
      <w:tr w:rsidR="008775EB" w:rsidRPr="004B27B7" w14:paraId="7DB52EA8" w14:textId="77777777" w:rsidTr="004B27B7">
        <w:trPr>
          <w:cantSplit/>
        </w:trPr>
        <w:tc>
          <w:tcPr>
            <w:tcW w:w="737" w:type="dxa"/>
            <w:vMerge w:val="restart"/>
            <w:tcBorders>
              <w:top w:val="single" w:sz="8" w:space="0" w:color="152935"/>
              <w:left w:val="nil"/>
              <w:bottom w:val="single" w:sz="8" w:space="0" w:color="152935"/>
              <w:right w:val="nil"/>
              <w:tl2br w:val="nil"/>
              <w:tr2bl w:val="nil"/>
            </w:tcBorders>
            <w:shd w:val="clear" w:color="auto" w:fill="E0E0E0"/>
          </w:tcPr>
          <w:p w14:paraId="5D92D182" w14:textId="77777777" w:rsidR="008775EB" w:rsidRPr="004B27B7" w:rsidRDefault="00000000" w:rsidP="005203B6">
            <w:pPr>
              <w:spacing w:line="240" w:lineRule="auto"/>
              <w:ind w:left="60" w:right="60"/>
              <w:rPr>
                <w:rFonts w:ascii="Times New Roman" w:hAnsi="Times New Roman" w:cs="Times New Roman"/>
                <w:color w:val="264A60"/>
              </w:rPr>
            </w:pPr>
            <w:r w:rsidRPr="004B27B7">
              <w:rPr>
                <w:rFonts w:ascii="Times New Roman" w:hAnsi="Times New Roman" w:cs="Times New Roman"/>
                <w:color w:val="264A60"/>
              </w:rPr>
              <w:t>1</w:t>
            </w:r>
          </w:p>
        </w:tc>
        <w:tc>
          <w:tcPr>
            <w:tcW w:w="1183" w:type="dxa"/>
            <w:tcBorders>
              <w:top w:val="single" w:sz="8" w:space="0" w:color="152935"/>
              <w:left w:val="nil"/>
              <w:bottom w:val="single" w:sz="8" w:space="0" w:color="AEAEAE"/>
              <w:right w:val="nil"/>
              <w:tl2br w:val="nil"/>
              <w:tr2bl w:val="nil"/>
            </w:tcBorders>
            <w:shd w:val="clear" w:color="auto" w:fill="E0E0E0"/>
          </w:tcPr>
          <w:p w14:paraId="647C52EC" w14:textId="77777777" w:rsidR="008775EB" w:rsidRPr="004B27B7" w:rsidRDefault="00000000" w:rsidP="005203B6">
            <w:pPr>
              <w:spacing w:line="240" w:lineRule="auto"/>
              <w:ind w:left="60" w:right="60"/>
              <w:rPr>
                <w:rFonts w:ascii="Times New Roman" w:hAnsi="Times New Roman" w:cs="Times New Roman"/>
                <w:color w:val="264A60"/>
              </w:rPr>
            </w:pPr>
            <w:r w:rsidRPr="004B27B7">
              <w:rPr>
                <w:rFonts w:ascii="Times New Roman" w:hAnsi="Times New Roman" w:cs="Times New Roman"/>
                <w:color w:val="264A60"/>
              </w:rPr>
              <w:t>(Constant)</w:t>
            </w:r>
          </w:p>
        </w:tc>
        <w:tc>
          <w:tcPr>
            <w:tcW w:w="1337" w:type="dxa"/>
            <w:tcBorders>
              <w:top w:val="single" w:sz="8" w:space="0" w:color="152935"/>
              <w:left w:val="nil"/>
              <w:bottom w:val="single" w:sz="8" w:space="0" w:color="AEAEAE"/>
              <w:right w:val="single" w:sz="8" w:space="0" w:color="E0E0E0"/>
              <w:tl2br w:val="nil"/>
              <w:tr2bl w:val="nil"/>
            </w:tcBorders>
            <w:shd w:val="clear" w:color="auto" w:fill="FFFFFF"/>
          </w:tcPr>
          <w:p w14:paraId="10861AC1" w14:textId="77777777" w:rsidR="008775EB" w:rsidRPr="004B27B7" w:rsidRDefault="00000000" w:rsidP="005203B6">
            <w:pPr>
              <w:spacing w:line="240" w:lineRule="auto"/>
              <w:ind w:left="60" w:right="60"/>
              <w:jc w:val="right"/>
              <w:rPr>
                <w:rFonts w:ascii="Times New Roman" w:hAnsi="Times New Roman" w:cs="Times New Roman"/>
                <w:color w:val="010205"/>
              </w:rPr>
            </w:pPr>
            <w:r w:rsidRPr="004B27B7">
              <w:rPr>
                <w:rFonts w:ascii="Times New Roman" w:hAnsi="Times New Roman" w:cs="Times New Roman"/>
                <w:color w:val="010205"/>
              </w:rPr>
              <w:t>-1,251</w:t>
            </w:r>
          </w:p>
        </w:tc>
        <w:tc>
          <w:tcPr>
            <w:tcW w:w="1337" w:type="dxa"/>
            <w:tcBorders>
              <w:top w:val="single" w:sz="8" w:space="0" w:color="152935"/>
              <w:left w:val="single" w:sz="8" w:space="0" w:color="E0E0E0"/>
              <w:bottom w:val="single" w:sz="8" w:space="0" w:color="AEAEAE"/>
              <w:right w:val="single" w:sz="8" w:space="0" w:color="E0E0E0"/>
              <w:tl2br w:val="nil"/>
              <w:tr2bl w:val="nil"/>
            </w:tcBorders>
            <w:shd w:val="clear" w:color="auto" w:fill="FFFFFF"/>
          </w:tcPr>
          <w:p w14:paraId="03BD0AA0" w14:textId="77777777" w:rsidR="008775EB" w:rsidRPr="004B27B7" w:rsidRDefault="00000000" w:rsidP="005203B6">
            <w:pPr>
              <w:spacing w:line="240" w:lineRule="auto"/>
              <w:ind w:left="60" w:right="60"/>
              <w:jc w:val="right"/>
              <w:rPr>
                <w:rFonts w:ascii="Times New Roman" w:hAnsi="Times New Roman" w:cs="Times New Roman"/>
                <w:color w:val="010205"/>
              </w:rPr>
            </w:pPr>
            <w:r w:rsidRPr="004B27B7">
              <w:rPr>
                <w:rFonts w:ascii="Times New Roman" w:hAnsi="Times New Roman" w:cs="Times New Roman"/>
                <w:color w:val="010205"/>
              </w:rPr>
              <w:t>,174</w:t>
            </w:r>
          </w:p>
        </w:tc>
        <w:tc>
          <w:tcPr>
            <w:tcW w:w="2636" w:type="dxa"/>
            <w:tcBorders>
              <w:top w:val="single" w:sz="8" w:space="0" w:color="152935"/>
              <w:left w:val="single" w:sz="8" w:space="0" w:color="E0E0E0"/>
              <w:bottom w:val="single" w:sz="8" w:space="0" w:color="AEAEAE"/>
              <w:right w:val="single" w:sz="8" w:space="0" w:color="E0E0E0"/>
              <w:tl2br w:val="nil"/>
              <w:tr2bl w:val="nil"/>
            </w:tcBorders>
            <w:shd w:val="clear" w:color="auto" w:fill="FFFFFF"/>
            <w:vAlign w:val="center"/>
          </w:tcPr>
          <w:p w14:paraId="064D4B8F" w14:textId="77777777" w:rsidR="008775EB" w:rsidRPr="004B27B7" w:rsidRDefault="008775EB" w:rsidP="005203B6">
            <w:pPr>
              <w:spacing w:line="240" w:lineRule="auto"/>
              <w:rPr>
                <w:rFonts w:ascii="Times New Roman" w:hAnsi="Times New Roman" w:cs="Times New Roman"/>
              </w:rPr>
            </w:pPr>
          </w:p>
        </w:tc>
        <w:tc>
          <w:tcPr>
            <w:tcW w:w="992" w:type="dxa"/>
            <w:tcBorders>
              <w:top w:val="single" w:sz="8" w:space="0" w:color="152935"/>
              <w:left w:val="single" w:sz="8" w:space="0" w:color="E0E0E0"/>
              <w:bottom w:val="single" w:sz="8" w:space="0" w:color="AEAEAE"/>
              <w:right w:val="single" w:sz="8" w:space="0" w:color="E0E0E0"/>
              <w:tl2br w:val="nil"/>
              <w:tr2bl w:val="nil"/>
            </w:tcBorders>
            <w:shd w:val="clear" w:color="auto" w:fill="FFFFFF"/>
          </w:tcPr>
          <w:p w14:paraId="5E585F99" w14:textId="77777777" w:rsidR="008775EB" w:rsidRPr="004B27B7" w:rsidRDefault="00000000" w:rsidP="005203B6">
            <w:pPr>
              <w:spacing w:line="240" w:lineRule="auto"/>
              <w:ind w:left="60" w:right="60"/>
              <w:jc w:val="right"/>
              <w:rPr>
                <w:rFonts w:ascii="Times New Roman" w:hAnsi="Times New Roman" w:cs="Times New Roman"/>
                <w:color w:val="010205"/>
              </w:rPr>
            </w:pPr>
            <w:r w:rsidRPr="004B27B7">
              <w:rPr>
                <w:rFonts w:ascii="Times New Roman" w:hAnsi="Times New Roman" w:cs="Times New Roman"/>
                <w:color w:val="010205"/>
              </w:rPr>
              <w:t>-7,191</w:t>
            </w:r>
          </w:p>
        </w:tc>
        <w:tc>
          <w:tcPr>
            <w:tcW w:w="928" w:type="dxa"/>
            <w:tcBorders>
              <w:top w:val="single" w:sz="8" w:space="0" w:color="152935"/>
              <w:left w:val="single" w:sz="8" w:space="0" w:color="E0E0E0"/>
              <w:bottom w:val="single" w:sz="8" w:space="0" w:color="AEAEAE"/>
              <w:right w:val="nil"/>
              <w:tl2br w:val="nil"/>
              <w:tr2bl w:val="nil"/>
            </w:tcBorders>
            <w:shd w:val="clear" w:color="auto" w:fill="FFFFFF"/>
          </w:tcPr>
          <w:p w14:paraId="7F5868B0" w14:textId="77777777" w:rsidR="008775EB" w:rsidRPr="004B27B7" w:rsidRDefault="00000000" w:rsidP="005203B6">
            <w:pPr>
              <w:spacing w:line="240" w:lineRule="auto"/>
              <w:ind w:left="60" w:right="60"/>
              <w:jc w:val="right"/>
              <w:rPr>
                <w:rFonts w:ascii="Times New Roman" w:hAnsi="Times New Roman" w:cs="Times New Roman"/>
                <w:color w:val="010205"/>
              </w:rPr>
            </w:pPr>
            <w:r w:rsidRPr="004B27B7">
              <w:rPr>
                <w:rFonts w:ascii="Times New Roman" w:hAnsi="Times New Roman" w:cs="Times New Roman"/>
                <w:color w:val="010205"/>
              </w:rPr>
              <w:t>,000</w:t>
            </w:r>
          </w:p>
        </w:tc>
      </w:tr>
      <w:tr w:rsidR="008775EB" w:rsidRPr="004B27B7" w14:paraId="0021957B" w14:textId="77777777" w:rsidTr="004B27B7">
        <w:trPr>
          <w:cantSplit/>
        </w:trPr>
        <w:tc>
          <w:tcPr>
            <w:tcW w:w="737" w:type="dxa"/>
            <w:vMerge/>
            <w:tcBorders>
              <w:top w:val="single" w:sz="8" w:space="0" w:color="152935"/>
              <w:left w:val="nil"/>
              <w:bottom w:val="single" w:sz="8" w:space="0" w:color="152935"/>
              <w:right w:val="nil"/>
              <w:tl2br w:val="nil"/>
              <w:tr2bl w:val="nil"/>
            </w:tcBorders>
            <w:shd w:val="clear" w:color="auto" w:fill="E0E0E0"/>
          </w:tcPr>
          <w:p w14:paraId="2ACBD3A6" w14:textId="77777777" w:rsidR="008775EB" w:rsidRPr="004B27B7" w:rsidRDefault="008775EB" w:rsidP="005203B6">
            <w:pPr>
              <w:spacing w:line="240" w:lineRule="auto"/>
              <w:rPr>
                <w:rFonts w:ascii="Times New Roman" w:hAnsi="Times New Roman" w:cs="Times New Roman"/>
                <w:color w:val="010205"/>
              </w:rPr>
            </w:pPr>
          </w:p>
        </w:tc>
        <w:tc>
          <w:tcPr>
            <w:tcW w:w="1183" w:type="dxa"/>
            <w:tcBorders>
              <w:top w:val="single" w:sz="8" w:space="0" w:color="AEAEAE"/>
              <w:left w:val="nil"/>
              <w:bottom w:val="single" w:sz="8" w:space="0" w:color="152935"/>
              <w:right w:val="nil"/>
              <w:tl2br w:val="nil"/>
              <w:tr2bl w:val="nil"/>
            </w:tcBorders>
            <w:shd w:val="clear" w:color="auto" w:fill="E0E0E0"/>
          </w:tcPr>
          <w:p w14:paraId="68836171" w14:textId="77777777" w:rsidR="008775EB" w:rsidRPr="004B27B7" w:rsidRDefault="00000000" w:rsidP="005203B6">
            <w:pPr>
              <w:spacing w:line="240" w:lineRule="auto"/>
              <w:ind w:left="60" w:right="60"/>
              <w:rPr>
                <w:rFonts w:ascii="Times New Roman" w:hAnsi="Times New Roman" w:cs="Times New Roman"/>
                <w:color w:val="264A60"/>
              </w:rPr>
            </w:pPr>
            <w:r w:rsidRPr="004B27B7">
              <w:rPr>
                <w:rFonts w:ascii="Times New Roman" w:hAnsi="Times New Roman" w:cs="Times New Roman"/>
                <w:color w:val="264A60"/>
              </w:rPr>
              <w:t>GA</w:t>
            </w:r>
          </w:p>
        </w:tc>
        <w:tc>
          <w:tcPr>
            <w:tcW w:w="1337" w:type="dxa"/>
            <w:tcBorders>
              <w:top w:val="single" w:sz="8" w:space="0" w:color="AEAEAE"/>
              <w:left w:val="nil"/>
              <w:bottom w:val="single" w:sz="8" w:space="0" w:color="152935"/>
              <w:right w:val="single" w:sz="8" w:space="0" w:color="E0E0E0"/>
              <w:tl2br w:val="nil"/>
              <w:tr2bl w:val="nil"/>
            </w:tcBorders>
            <w:shd w:val="clear" w:color="auto" w:fill="FFFFFF"/>
          </w:tcPr>
          <w:p w14:paraId="133E1999" w14:textId="77777777" w:rsidR="008775EB" w:rsidRPr="004B27B7" w:rsidRDefault="00000000" w:rsidP="005203B6">
            <w:pPr>
              <w:spacing w:line="240" w:lineRule="auto"/>
              <w:ind w:left="60" w:right="60"/>
              <w:jc w:val="right"/>
              <w:rPr>
                <w:rFonts w:ascii="Times New Roman" w:hAnsi="Times New Roman" w:cs="Times New Roman"/>
                <w:color w:val="010205"/>
              </w:rPr>
            </w:pPr>
            <w:r w:rsidRPr="004B27B7">
              <w:rPr>
                <w:rFonts w:ascii="Times New Roman" w:hAnsi="Times New Roman" w:cs="Times New Roman"/>
                <w:color w:val="010205"/>
              </w:rPr>
              <w:t>11,512</w:t>
            </w:r>
          </w:p>
        </w:tc>
        <w:tc>
          <w:tcPr>
            <w:tcW w:w="1337" w:type="dxa"/>
            <w:tcBorders>
              <w:top w:val="single" w:sz="8" w:space="0" w:color="AEAEAE"/>
              <w:left w:val="single" w:sz="8" w:space="0" w:color="E0E0E0"/>
              <w:bottom w:val="single" w:sz="8" w:space="0" w:color="152935"/>
              <w:right w:val="single" w:sz="8" w:space="0" w:color="E0E0E0"/>
              <w:tl2br w:val="nil"/>
              <w:tr2bl w:val="nil"/>
            </w:tcBorders>
            <w:shd w:val="clear" w:color="auto" w:fill="FFFFFF"/>
          </w:tcPr>
          <w:p w14:paraId="5068CB7D" w14:textId="77777777" w:rsidR="008775EB" w:rsidRPr="004B27B7" w:rsidRDefault="00000000" w:rsidP="005203B6">
            <w:pPr>
              <w:spacing w:line="240" w:lineRule="auto"/>
              <w:ind w:left="60" w:right="60"/>
              <w:jc w:val="right"/>
              <w:rPr>
                <w:rFonts w:ascii="Times New Roman" w:hAnsi="Times New Roman" w:cs="Times New Roman"/>
                <w:color w:val="010205"/>
              </w:rPr>
            </w:pPr>
            <w:r w:rsidRPr="004B27B7">
              <w:rPr>
                <w:rFonts w:ascii="Times New Roman" w:hAnsi="Times New Roman" w:cs="Times New Roman"/>
                <w:color w:val="010205"/>
              </w:rPr>
              <w:t>5,256</w:t>
            </w:r>
          </w:p>
        </w:tc>
        <w:tc>
          <w:tcPr>
            <w:tcW w:w="2636" w:type="dxa"/>
            <w:tcBorders>
              <w:top w:val="single" w:sz="8" w:space="0" w:color="AEAEAE"/>
              <w:left w:val="single" w:sz="8" w:space="0" w:color="E0E0E0"/>
              <w:bottom w:val="single" w:sz="8" w:space="0" w:color="152935"/>
              <w:right w:val="single" w:sz="8" w:space="0" w:color="E0E0E0"/>
              <w:tl2br w:val="nil"/>
              <w:tr2bl w:val="nil"/>
            </w:tcBorders>
            <w:shd w:val="clear" w:color="auto" w:fill="FFFFFF"/>
          </w:tcPr>
          <w:p w14:paraId="5F534A22" w14:textId="77777777" w:rsidR="008775EB" w:rsidRPr="004B27B7" w:rsidRDefault="00000000" w:rsidP="005203B6">
            <w:pPr>
              <w:spacing w:line="240" w:lineRule="auto"/>
              <w:ind w:left="60" w:right="60"/>
              <w:jc w:val="right"/>
              <w:rPr>
                <w:rFonts w:ascii="Times New Roman" w:hAnsi="Times New Roman" w:cs="Times New Roman"/>
                <w:color w:val="010205"/>
              </w:rPr>
            </w:pPr>
            <w:r w:rsidRPr="004B27B7">
              <w:rPr>
                <w:rFonts w:ascii="Times New Roman" w:hAnsi="Times New Roman" w:cs="Times New Roman"/>
                <w:color w:val="010205"/>
              </w:rPr>
              <w:t>,274</w:t>
            </w:r>
          </w:p>
        </w:tc>
        <w:tc>
          <w:tcPr>
            <w:tcW w:w="992" w:type="dxa"/>
            <w:tcBorders>
              <w:top w:val="single" w:sz="8" w:space="0" w:color="AEAEAE"/>
              <w:left w:val="single" w:sz="8" w:space="0" w:color="E0E0E0"/>
              <w:bottom w:val="single" w:sz="8" w:space="0" w:color="152935"/>
              <w:right w:val="single" w:sz="8" w:space="0" w:color="E0E0E0"/>
              <w:tl2br w:val="nil"/>
              <w:tr2bl w:val="nil"/>
            </w:tcBorders>
            <w:shd w:val="clear" w:color="auto" w:fill="FFFFFF"/>
          </w:tcPr>
          <w:p w14:paraId="194FDE62" w14:textId="77777777" w:rsidR="008775EB" w:rsidRPr="004B27B7" w:rsidRDefault="00000000" w:rsidP="005203B6">
            <w:pPr>
              <w:spacing w:line="240" w:lineRule="auto"/>
              <w:ind w:left="60" w:right="60"/>
              <w:jc w:val="right"/>
              <w:rPr>
                <w:rFonts w:ascii="Times New Roman" w:hAnsi="Times New Roman" w:cs="Times New Roman"/>
                <w:color w:val="010205"/>
              </w:rPr>
            </w:pPr>
            <w:r w:rsidRPr="004B27B7">
              <w:rPr>
                <w:rFonts w:ascii="Times New Roman" w:hAnsi="Times New Roman" w:cs="Times New Roman"/>
                <w:color w:val="010205"/>
              </w:rPr>
              <w:t>2,190</w:t>
            </w:r>
          </w:p>
        </w:tc>
        <w:tc>
          <w:tcPr>
            <w:tcW w:w="928" w:type="dxa"/>
            <w:tcBorders>
              <w:top w:val="single" w:sz="8" w:space="0" w:color="AEAEAE"/>
              <w:left w:val="single" w:sz="8" w:space="0" w:color="E0E0E0"/>
              <w:bottom w:val="single" w:sz="8" w:space="0" w:color="152935"/>
              <w:right w:val="nil"/>
              <w:tl2br w:val="nil"/>
              <w:tr2bl w:val="nil"/>
            </w:tcBorders>
            <w:shd w:val="clear" w:color="auto" w:fill="FFFFFF"/>
          </w:tcPr>
          <w:p w14:paraId="28131BE3" w14:textId="77777777" w:rsidR="008775EB" w:rsidRPr="004B27B7" w:rsidRDefault="00000000" w:rsidP="005203B6">
            <w:pPr>
              <w:spacing w:line="240" w:lineRule="auto"/>
              <w:ind w:left="60" w:right="60"/>
              <w:jc w:val="right"/>
              <w:rPr>
                <w:rFonts w:ascii="Times New Roman" w:hAnsi="Times New Roman" w:cs="Times New Roman"/>
                <w:color w:val="010205"/>
              </w:rPr>
            </w:pPr>
            <w:r w:rsidRPr="004B27B7">
              <w:rPr>
                <w:rFonts w:ascii="Times New Roman" w:hAnsi="Times New Roman" w:cs="Times New Roman"/>
                <w:color w:val="010205"/>
              </w:rPr>
              <w:t>,032</w:t>
            </w:r>
          </w:p>
        </w:tc>
      </w:tr>
      <w:tr w:rsidR="008775EB" w:rsidRPr="004B27B7" w14:paraId="24F2ABE3" w14:textId="77777777">
        <w:trPr>
          <w:cantSplit/>
        </w:trPr>
        <w:tc>
          <w:tcPr>
            <w:tcW w:w="9150" w:type="dxa"/>
            <w:gridSpan w:val="7"/>
            <w:tcBorders>
              <w:top w:val="nil"/>
              <w:left w:val="nil"/>
              <w:bottom w:val="nil"/>
              <w:right w:val="nil"/>
              <w:tl2br w:val="nil"/>
              <w:tr2bl w:val="nil"/>
            </w:tcBorders>
            <w:shd w:val="clear" w:color="auto" w:fill="FFFFFF"/>
          </w:tcPr>
          <w:p w14:paraId="23704423" w14:textId="77777777" w:rsidR="008775EB" w:rsidRPr="004B27B7" w:rsidRDefault="00000000" w:rsidP="005203B6">
            <w:pPr>
              <w:spacing w:line="240" w:lineRule="auto"/>
              <w:ind w:left="60" w:right="60"/>
              <w:rPr>
                <w:rFonts w:ascii="Times New Roman" w:hAnsi="Times New Roman" w:cs="Times New Roman"/>
                <w:color w:val="010205"/>
              </w:rPr>
            </w:pPr>
            <w:r w:rsidRPr="004B27B7">
              <w:rPr>
                <w:rFonts w:ascii="Times New Roman" w:hAnsi="Times New Roman" w:cs="Times New Roman"/>
                <w:color w:val="010205"/>
              </w:rPr>
              <w:t>a. Dependent Variable: P</w:t>
            </w:r>
          </w:p>
        </w:tc>
      </w:tr>
    </w:tbl>
    <w:p w14:paraId="0CB8FC09" w14:textId="77777777" w:rsidR="008775EB" w:rsidRPr="004B27B7" w:rsidRDefault="00000000" w:rsidP="004B27B7">
      <w:pPr>
        <w:spacing w:line="360" w:lineRule="auto"/>
        <w:jc w:val="both"/>
        <w:rPr>
          <w:rFonts w:ascii="Times New Roman" w:hAnsi="Times New Roman" w:cs="Times New Roman"/>
          <w:i/>
          <w:iCs/>
          <w:sz w:val="24"/>
          <w:szCs w:val="24"/>
        </w:rPr>
      </w:pPr>
      <w:r w:rsidRPr="004B27B7">
        <w:rPr>
          <w:rFonts w:ascii="Times New Roman" w:hAnsi="Times New Roman" w:cs="Times New Roman"/>
          <w:i/>
          <w:iCs/>
          <w:sz w:val="24"/>
          <w:szCs w:val="24"/>
        </w:rPr>
        <w:t>Sumber: Output SPSS 26, Data sekunder telah diolah</w:t>
      </w:r>
    </w:p>
    <w:p w14:paraId="39E97A0D" w14:textId="6A01687E" w:rsidR="005203B6" w:rsidRPr="00177DFC" w:rsidRDefault="00000000" w:rsidP="00177DFC">
      <w:pPr>
        <w:pStyle w:val="ListParagraph"/>
        <w:spacing w:line="360" w:lineRule="auto"/>
        <w:ind w:left="0" w:firstLine="720"/>
        <w:jc w:val="both"/>
        <w:rPr>
          <w:rFonts w:ascii="Times New Roman" w:hAnsi="Times New Roman" w:cs="Times New Roman"/>
          <w:sz w:val="24"/>
          <w:szCs w:val="24"/>
        </w:rPr>
      </w:pPr>
      <w:r w:rsidRPr="004B27B7">
        <w:rPr>
          <w:rFonts w:ascii="Times New Roman" w:hAnsi="Times New Roman" w:cs="Times New Roman"/>
          <w:sz w:val="24"/>
          <w:szCs w:val="24"/>
        </w:rPr>
        <w:t xml:space="preserve">Berdasarkan hasil uji analisis regresi linear sederhana dapat diketahui hubungan antara variabel </w:t>
      </w:r>
      <w:r w:rsidRPr="004B27B7">
        <w:rPr>
          <w:rFonts w:ascii="Times New Roman" w:hAnsi="Times New Roman" w:cs="Times New Roman"/>
          <w:i/>
          <w:iCs/>
          <w:sz w:val="24"/>
          <w:szCs w:val="24"/>
        </w:rPr>
        <w:t>independen</w:t>
      </w:r>
      <w:r w:rsidRPr="004B27B7">
        <w:rPr>
          <w:rFonts w:ascii="Times New Roman" w:hAnsi="Times New Roman" w:cs="Times New Roman"/>
          <w:sz w:val="24"/>
          <w:szCs w:val="24"/>
        </w:rPr>
        <w:t xml:space="preserve"> dan variabel dependen dengan persamaan regresi sebagai berikut: Y = -1,251 + 11,512X. Besarnya konstanta sebesar -1,251 menyatakan bahwa jika masing-masing variabel </w:t>
      </w:r>
      <w:r w:rsidRPr="004B27B7">
        <w:rPr>
          <w:rFonts w:ascii="Times New Roman" w:hAnsi="Times New Roman" w:cs="Times New Roman"/>
          <w:i/>
          <w:iCs/>
          <w:sz w:val="24"/>
          <w:szCs w:val="24"/>
        </w:rPr>
        <w:t>independen</w:t>
      </w:r>
      <w:r w:rsidRPr="004B27B7">
        <w:rPr>
          <w:rFonts w:ascii="Times New Roman" w:hAnsi="Times New Roman" w:cs="Times New Roman"/>
          <w:sz w:val="24"/>
          <w:szCs w:val="24"/>
        </w:rPr>
        <w:t xml:space="preserve"> yang terdapat dalam penelitian ini dianggap konstan sebesar -1,251. Berdasarkan uji analisis regresi linear sederhana tersebut maka dapat dilihat bahwa nilai koefisien regresi dari </w:t>
      </w:r>
      <w:r w:rsidRPr="004B27B7">
        <w:rPr>
          <w:rFonts w:ascii="Times New Roman" w:hAnsi="Times New Roman" w:cs="Times New Roman"/>
          <w:i/>
          <w:iCs/>
          <w:sz w:val="24"/>
          <w:szCs w:val="24"/>
        </w:rPr>
        <w:t>green accounting</w:t>
      </w:r>
      <w:r w:rsidRPr="004B27B7">
        <w:rPr>
          <w:rFonts w:ascii="Times New Roman" w:hAnsi="Times New Roman" w:cs="Times New Roman"/>
          <w:sz w:val="24"/>
          <w:szCs w:val="24"/>
        </w:rPr>
        <w:t xml:space="preserve"> adalah sebesar 11,512 yang berarti bahwa setiap penambahan 1% nilai </w:t>
      </w:r>
      <w:r w:rsidRPr="004B27B7">
        <w:rPr>
          <w:rFonts w:ascii="Times New Roman" w:hAnsi="Times New Roman" w:cs="Times New Roman"/>
          <w:i/>
          <w:iCs/>
          <w:sz w:val="24"/>
          <w:szCs w:val="24"/>
        </w:rPr>
        <w:t>green accounting</w:t>
      </w:r>
      <w:r w:rsidRPr="004B27B7">
        <w:rPr>
          <w:rFonts w:ascii="Times New Roman" w:hAnsi="Times New Roman" w:cs="Times New Roman"/>
          <w:sz w:val="24"/>
          <w:szCs w:val="24"/>
        </w:rPr>
        <w:t xml:space="preserve">, maka nilai </w:t>
      </w:r>
      <w:r w:rsidRPr="004B27B7">
        <w:rPr>
          <w:rFonts w:ascii="Times New Roman" w:hAnsi="Times New Roman" w:cs="Times New Roman"/>
          <w:i/>
          <w:iCs/>
          <w:sz w:val="24"/>
          <w:szCs w:val="24"/>
        </w:rPr>
        <w:t>profitabilitas</w:t>
      </w:r>
      <w:r w:rsidRPr="004B27B7">
        <w:rPr>
          <w:rFonts w:ascii="Times New Roman" w:hAnsi="Times New Roman" w:cs="Times New Roman"/>
          <w:sz w:val="24"/>
          <w:szCs w:val="24"/>
        </w:rPr>
        <w:t xml:space="preserve"> akan bertambah sebesar 11,512. Koefisien regresi tersebut bernilai positif, sehingga dapat dikatakan bahwa arah pengaruh variabel </w:t>
      </w:r>
      <w:r w:rsidRPr="004B27B7">
        <w:rPr>
          <w:rFonts w:ascii="Times New Roman" w:hAnsi="Times New Roman" w:cs="Times New Roman"/>
          <w:i/>
          <w:iCs/>
          <w:sz w:val="24"/>
          <w:szCs w:val="24"/>
        </w:rPr>
        <w:t>independen</w:t>
      </w:r>
      <w:r w:rsidRPr="004B27B7">
        <w:rPr>
          <w:rFonts w:ascii="Times New Roman" w:hAnsi="Times New Roman" w:cs="Times New Roman"/>
          <w:sz w:val="24"/>
          <w:szCs w:val="24"/>
        </w:rPr>
        <w:t xml:space="preserve"> dan variabel dependen adalah positif.</w:t>
      </w:r>
    </w:p>
    <w:p w14:paraId="169AFCFA" w14:textId="03A05BAC" w:rsidR="008775EB" w:rsidRPr="004B27B7" w:rsidRDefault="00000000" w:rsidP="004B27B7">
      <w:pPr>
        <w:spacing w:line="360" w:lineRule="auto"/>
        <w:jc w:val="center"/>
        <w:rPr>
          <w:rFonts w:ascii="Times New Roman" w:hAnsi="Times New Roman" w:cs="Times New Roman"/>
          <w:b/>
          <w:bCs/>
          <w:sz w:val="24"/>
          <w:szCs w:val="24"/>
        </w:rPr>
      </w:pPr>
      <w:r w:rsidRPr="004B27B7">
        <w:rPr>
          <w:rFonts w:ascii="Times New Roman" w:hAnsi="Times New Roman" w:cs="Times New Roman"/>
          <w:b/>
          <w:bCs/>
          <w:sz w:val="24"/>
          <w:szCs w:val="24"/>
        </w:rPr>
        <w:t>Tabel 4.7 Uji T</w:t>
      </w:r>
    </w:p>
    <w:tbl>
      <w:tblPr>
        <w:tblW w:w="91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7"/>
        <w:gridCol w:w="1183"/>
        <w:gridCol w:w="1337"/>
        <w:gridCol w:w="1337"/>
        <w:gridCol w:w="2636"/>
        <w:gridCol w:w="878"/>
        <w:gridCol w:w="1042"/>
      </w:tblGrid>
      <w:tr w:rsidR="008775EB" w:rsidRPr="004B27B7" w14:paraId="2157301B" w14:textId="77777777">
        <w:trPr>
          <w:cantSplit/>
        </w:trPr>
        <w:tc>
          <w:tcPr>
            <w:tcW w:w="9150" w:type="dxa"/>
            <w:gridSpan w:val="7"/>
            <w:tcBorders>
              <w:top w:val="nil"/>
              <w:left w:val="nil"/>
              <w:bottom w:val="nil"/>
              <w:right w:val="nil"/>
              <w:tl2br w:val="nil"/>
              <w:tr2bl w:val="nil"/>
            </w:tcBorders>
            <w:shd w:val="clear" w:color="auto" w:fill="FFFFFF"/>
            <w:vAlign w:val="center"/>
          </w:tcPr>
          <w:p w14:paraId="52E7CAAD" w14:textId="77777777" w:rsidR="008775EB" w:rsidRPr="004B27B7" w:rsidRDefault="00000000" w:rsidP="005203B6">
            <w:pPr>
              <w:spacing w:line="240" w:lineRule="auto"/>
              <w:ind w:left="60" w:right="60"/>
              <w:jc w:val="center"/>
              <w:rPr>
                <w:rFonts w:ascii="Times New Roman" w:hAnsi="Times New Roman" w:cs="Times New Roman"/>
                <w:color w:val="010205"/>
              </w:rPr>
            </w:pPr>
            <w:r w:rsidRPr="004B27B7">
              <w:rPr>
                <w:rFonts w:ascii="Times New Roman" w:hAnsi="Times New Roman" w:cs="Times New Roman"/>
                <w:b/>
                <w:color w:val="010205"/>
              </w:rPr>
              <w:t>Coefficients</w:t>
            </w:r>
            <w:r w:rsidRPr="004B27B7">
              <w:rPr>
                <w:rFonts w:ascii="Times New Roman" w:hAnsi="Times New Roman" w:cs="Times New Roman"/>
                <w:b/>
                <w:color w:val="010205"/>
                <w:vertAlign w:val="superscript"/>
              </w:rPr>
              <w:t>a</w:t>
            </w:r>
          </w:p>
        </w:tc>
      </w:tr>
      <w:tr w:rsidR="008775EB" w:rsidRPr="004B27B7" w14:paraId="3ADB50BA" w14:textId="77777777" w:rsidTr="005A76C2">
        <w:trPr>
          <w:cantSplit/>
        </w:trPr>
        <w:tc>
          <w:tcPr>
            <w:tcW w:w="1920" w:type="dxa"/>
            <w:gridSpan w:val="2"/>
            <w:vMerge w:val="restart"/>
            <w:tcBorders>
              <w:top w:val="nil"/>
              <w:left w:val="nil"/>
              <w:bottom w:val="nil"/>
              <w:right w:val="nil"/>
              <w:tl2br w:val="nil"/>
              <w:tr2bl w:val="nil"/>
            </w:tcBorders>
            <w:shd w:val="clear" w:color="auto" w:fill="FFFFFF"/>
            <w:vAlign w:val="bottom"/>
          </w:tcPr>
          <w:p w14:paraId="28DD4CCF" w14:textId="77777777" w:rsidR="008775EB" w:rsidRPr="004B27B7" w:rsidRDefault="00000000" w:rsidP="005203B6">
            <w:pPr>
              <w:spacing w:line="240" w:lineRule="auto"/>
              <w:ind w:left="60" w:right="60"/>
              <w:rPr>
                <w:rFonts w:ascii="Times New Roman" w:hAnsi="Times New Roman" w:cs="Times New Roman"/>
                <w:color w:val="264A60"/>
              </w:rPr>
            </w:pPr>
            <w:r w:rsidRPr="004B27B7">
              <w:rPr>
                <w:rFonts w:ascii="Times New Roman" w:hAnsi="Times New Roman" w:cs="Times New Roman"/>
                <w:color w:val="264A60"/>
              </w:rPr>
              <w:t>Model</w:t>
            </w:r>
          </w:p>
        </w:tc>
        <w:tc>
          <w:tcPr>
            <w:tcW w:w="2674" w:type="dxa"/>
            <w:gridSpan w:val="2"/>
            <w:tcBorders>
              <w:top w:val="nil"/>
              <w:left w:val="nil"/>
              <w:bottom w:val="nil"/>
              <w:right w:val="single" w:sz="8" w:space="0" w:color="E0E0E0"/>
              <w:tl2br w:val="nil"/>
              <w:tr2bl w:val="nil"/>
            </w:tcBorders>
            <w:shd w:val="clear" w:color="auto" w:fill="FFFFFF"/>
            <w:vAlign w:val="bottom"/>
          </w:tcPr>
          <w:p w14:paraId="4CD8623D" w14:textId="77777777" w:rsidR="008775EB" w:rsidRPr="004B27B7" w:rsidRDefault="00000000" w:rsidP="005203B6">
            <w:pPr>
              <w:spacing w:line="240" w:lineRule="auto"/>
              <w:ind w:left="60" w:right="60"/>
              <w:jc w:val="center"/>
              <w:rPr>
                <w:rFonts w:ascii="Times New Roman" w:hAnsi="Times New Roman" w:cs="Times New Roman"/>
                <w:color w:val="264A60"/>
              </w:rPr>
            </w:pPr>
            <w:r w:rsidRPr="004B27B7">
              <w:rPr>
                <w:rFonts w:ascii="Times New Roman" w:hAnsi="Times New Roman" w:cs="Times New Roman"/>
                <w:color w:val="264A60"/>
              </w:rPr>
              <w:t>Unstandardized Coefficients</w:t>
            </w:r>
          </w:p>
        </w:tc>
        <w:tc>
          <w:tcPr>
            <w:tcW w:w="2636" w:type="dxa"/>
            <w:tcBorders>
              <w:top w:val="nil"/>
              <w:left w:val="single" w:sz="8" w:space="0" w:color="E0E0E0"/>
              <w:bottom w:val="nil"/>
              <w:right w:val="single" w:sz="8" w:space="0" w:color="E0E0E0"/>
              <w:tl2br w:val="nil"/>
              <w:tr2bl w:val="nil"/>
            </w:tcBorders>
            <w:shd w:val="clear" w:color="auto" w:fill="FFFFFF"/>
            <w:vAlign w:val="bottom"/>
          </w:tcPr>
          <w:p w14:paraId="243D8B1D" w14:textId="77777777" w:rsidR="008775EB" w:rsidRPr="004B27B7" w:rsidRDefault="00000000" w:rsidP="005203B6">
            <w:pPr>
              <w:spacing w:line="240" w:lineRule="auto"/>
              <w:ind w:left="60" w:right="60"/>
              <w:jc w:val="center"/>
              <w:rPr>
                <w:rFonts w:ascii="Times New Roman" w:hAnsi="Times New Roman" w:cs="Times New Roman"/>
                <w:color w:val="264A60"/>
              </w:rPr>
            </w:pPr>
            <w:r w:rsidRPr="004B27B7">
              <w:rPr>
                <w:rFonts w:ascii="Times New Roman" w:hAnsi="Times New Roman" w:cs="Times New Roman"/>
                <w:color w:val="264A60"/>
              </w:rPr>
              <w:t>Standardized Coefficients</w:t>
            </w:r>
          </w:p>
        </w:tc>
        <w:tc>
          <w:tcPr>
            <w:tcW w:w="878" w:type="dxa"/>
            <w:vMerge w:val="restart"/>
            <w:tcBorders>
              <w:top w:val="nil"/>
              <w:left w:val="single" w:sz="8" w:space="0" w:color="E0E0E0"/>
              <w:bottom w:val="nil"/>
              <w:right w:val="single" w:sz="8" w:space="0" w:color="E0E0E0"/>
              <w:tl2br w:val="nil"/>
              <w:tr2bl w:val="nil"/>
            </w:tcBorders>
            <w:shd w:val="clear" w:color="auto" w:fill="FFFFFF"/>
            <w:vAlign w:val="bottom"/>
          </w:tcPr>
          <w:p w14:paraId="680E9FEA" w14:textId="77777777" w:rsidR="008775EB" w:rsidRPr="004B27B7" w:rsidRDefault="00000000" w:rsidP="005203B6">
            <w:pPr>
              <w:spacing w:line="240" w:lineRule="auto"/>
              <w:ind w:left="60" w:right="60"/>
              <w:jc w:val="center"/>
              <w:rPr>
                <w:rFonts w:ascii="Times New Roman" w:hAnsi="Times New Roman" w:cs="Times New Roman"/>
                <w:color w:val="264A60"/>
              </w:rPr>
            </w:pPr>
            <w:r w:rsidRPr="004B27B7">
              <w:rPr>
                <w:rFonts w:ascii="Times New Roman" w:hAnsi="Times New Roman" w:cs="Times New Roman"/>
                <w:color w:val="264A60"/>
              </w:rPr>
              <w:t>t</w:t>
            </w:r>
          </w:p>
        </w:tc>
        <w:tc>
          <w:tcPr>
            <w:tcW w:w="1042" w:type="dxa"/>
            <w:vMerge w:val="restart"/>
            <w:tcBorders>
              <w:top w:val="nil"/>
              <w:left w:val="single" w:sz="8" w:space="0" w:color="E0E0E0"/>
              <w:bottom w:val="nil"/>
              <w:right w:val="nil"/>
              <w:tl2br w:val="nil"/>
              <w:tr2bl w:val="nil"/>
            </w:tcBorders>
            <w:shd w:val="clear" w:color="auto" w:fill="FFFFFF"/>
            <w:vAlign w:val="bottom"/>
          </w:tcPr>
          <w:p w14:paraId="1419BFAF" w14:textId="77777777" w:rsidR="008775EB" w:rsidRPr="004B27B7" w:rsidRDefault="00000000" w:rsidP="005203B6">
            <w:pPr>
              <w:spacing w:line="240" w:lineRule="auto"/>
              <w:ind w:left="60" w:right="60"/>
              <w:jc w:val="center"/>
              <w:rPr>
                <w:rFonts w:ascii="Times New Roman" w:hAnsi="Times New Roman" w:cs="Times New Roman"/>
                <w:color w:val="264A60"/>
              </w:rPr>
            </w:pPr>
            <w:r w:rsidRPr="004B27B7">
              <w:rPr>
                <w:rFonts w:ascii="Times New Roman" w:hAnsi="Times New Roman" w:cs="Times New Roman"/>
                <w:color w:val="264A60"/>
              </w:rPr>
              <w:t>Sig.</w:t>
            </w:r>
          </w:p>
        </w:tc>
      </w:tr>
      <w:tr w:rsidR="008775EB" w:rsidRPr="004B27B7" w14:paraId="1AAED5C8" w14:textId="77777777" w:rsidTr="005A76C2">
        <w:trPr>
          <w:cantSplit/>
        </w:trPr>
        <w:tc>
          <w:tcPr>
            <w:tcW w:w="1920" w:type="dxa"/>
            <w:gridSpan w:val="2"/>
            <w:vMerge/>
            <w:tcBorders>
              <w:top w:val="nil"/>
              <w:left w:val="nil"/>
              <w:bottom w:val="nil"/>
              <w:right w:val="nil"/>
              <w:tl2br w:val="nil"/>
              <w:tr2bl w:val="nil"/>
            </w:tcBorders>
            <w:shd w:val="clear" w:color="auto" w:fill="FFFFFF"/>
            <w:vAlign w:val="bottom"/>
          </w:tcPr>
          <w:p w14:paraId="0AB4B33C" w14:textId="77777777" w:rsidR="008775EB" w:rsidRPr="004B27B7" w:rsidRDefault="008775EB" w:rsidP="005203B6">
            <w:pPr>
              <w:spacing w:line="240" w:lineRule="auto"/>
              <w:rPr>
                <w:rFonts w:ascii="Times New Roman" w:hAnsi="Times New Roman" w:cs="Times New Roman"/>
                <w:color w:val="264A60"/>
              </w:rPr>
            </w:pPr>
          </w:p>
        </w:tc>
        <w:tc>
          <w:tcPr>
            <w:tcW w:w="1337" w:type="dxa"/>
            <w:tcBorders>
              <w:top w:val="nil"/>
              <w:left w:val="nil"/>
              <w:bottom w:val="single" w:sz="8" w:space="0" w:color="152935"/>
              <w:right w:val="single" w:sz="8" w:space="0" w:color="E0E0E0"/>
              <w:tl2br w:val="nil"/>
              <w:tr2bl w:val="nil"/>
            </w:tcBorders>
            <w:shd w:val="clear" w:color="auto" w:fill="FFFFFF"/>
            <w:vAlign w:val="bottom"/>
          </w:tcPr>
          <w:p w14:paraId="514CB919" w14:textId="77777777" w:rsidR="008775EB" w:rsidRPr="004B27B7" w:rsidRDefault="00000000" w:rsidP="005203B6">
            <w:pPr>
              <w:spacing w:line="240" w:lineRule="auto"/>
              <w:ind w:left="60" w:right="60"/>
              <w:jc w:val="center"/>
              <w:rPr>
                <w:rFonts w:ascii="Times New Roman" w:hAnsi="Times New Roman" w:cs="Times New Roman"/>
                <w:color w:val="264A60"/>
              </w:rPr>
            </w:pPr>
            <w:r w:rsidRPr="004B27B7">
              <w:rPr>
                <w:rFonts w:ascii="Times New Roman" w:hAnsi="Times New Roman" w:cs="Times New Roman"/>
                <w:color w:val="264A60"/>
              </w:rPr>
              <w:t>B</w:t>
            </w:r>
          </w:p>
        </w:tc>
        <w:tc>
          <w:tcPr>
            <w:tcW w:w="1337" w:type="dxa"/>
            <w:tcBorders>
              <w:top w:val="nil"/>
              <w:left w:val="single" w:sz="8" w:space="0" w:color="E0E0E0"/>
              <w:bottom w:val="single" w:sz="8" w:space="0" w:color="152935"/>
              <w:right w:val="single" w:sz="8" w:space="0" w:color="E0E0E0"/>
              <w:tl2br w:val="nil"/>
              <w:tr2bl w:val="nil"/>
            </w:tcBorders>
            <w:shd w:val="clear" w:color="auto" w:fill="FFFFFF"/>
            <w:vAlign w:val="bottom"/>
          </w:tcPr>
          <w:p w14:paraId="0765C5AF" w14:textId="77777777" w:rsidR="008775EB" w:rsidRPr="004B27B7" w:rsidRDefault="00000000" w:rsidP="005203B6">
            <w:pPr>
              <w:spacing w:line="240" w:lineRule="auto"/>
              <w:ind w:left="60" w:right="60"/>
              <w:jc w:val="center"/>
              <w:rPr>
                <w:rFonts w:ascii="Times New Roman" w:hAnsi="Times New Roman" w:cs="Times New Roman"/>
                <w:color w:val="264A60"/>
              </w:rPr>
            </w:pPr>
            <w:r w:rsidRPr="004B27B7">
              <w:rPr>
                <w:rFonts w:ascii="Times New Roman" w:hAnsi="Times New Roman" w:cs="Times New Roman"/>
                <w:color w:val="264A60"/>
              </w:rPr>
              <w:t>Std. Error</w:t>
            </w:r>
          </w:p>
        </w:tc>
        <w:tc>
          <w:tcPr>
            <w:tcW w:w="2636" w:type="dxa"/>
            <w:tcBorders>
              <w:top w:val="nil"/>
              <w:left w:val="single" w:sz="8" w:space="0" w:color="E0E0E0"/>
              <w:bottom w:val="single" w:sz="8" w:space="0" w:color="152935"/>
              <w:right w:val="single" w:sz="8" w:space="0" w:color="E0E0E0"/>
              <w:tl2br w:val="nil"/>
              <w:tr2bl w:val="nil"/>
            </w:tcBorders>
            <w:shd w:val="clear" w:color="auto" w:fill="FFFFFF"/>
            <w:vAlign w:val="bottom"/>
          </w:tcPr>
          <w:p w14:paraId="665D76A1" w14:textId="77777777" w:rsidR="008775EB" w:rsidRPr="004B27B7" w:rsidRDefault="00000000" w:rsidP="005203B6">
            <w:pPr>
              <w:spacing w:line="240" w:lineRule="auto"/>
              <w:ind w:left="60" w:right="60"/>
              <w:jc w:val="center"/>
              <w:rPr>
                <w:rFonts w:ascii="Times New Roman" w:hAnsi="Times New Roman" w:cs="Times New Roman"/>
                <w:color w:val="264A60"/>
              </w:rPr>
            </w:pPr>
            <w:r w:rsidRPr="004B27B7">
              <w:rPr>
                <w:rFonts w:ascii="Times New Roman" w:hAnsi="Times New Roman" w:cs="Times New Roman"/>
                <w:color w:val="264A60"/>
              </w:rPr>
              <w:t>Beta</w:t>
            </w:r>
          </w:p>
        </w:tc>
        <w:tc>
          <w:tcPr>
            <w:tcW w:w="878" w:type="dxa"/>
            <w:vMerge/>
            <w:tcBorders>
              <w:top w:val="nil"/>
              <w:left w:val="single" w:sz="8" w:space="0" w:color="E0E0E0"/>
              <w:bottom w:val="nil"/>
              <w:right w:val="single" w:sz="8" w:space="0" w:color="E0E0E0"/>
              <w:tl2br w:val="nil"/>
              <w:tr2bl w:val="nil"/>
            </w:tcBorders>
            <w:shd w:val="clear" w:color="auto" w:fill="FFFFFF"/>
            <w:vAlign w:val="bottom"/>
          </w:tcPr>
          <w:p w14:paraId="2A9CF733" w14:textId="77777777" w:rsidR="008775EB" w:rsidRPr="004B27B7" w:rsidRDefault="008775EB" w:rsidP="005203B6">
            <w:pPr>
              <w:spacing w:line="240" w:lineRule="auto"/>
              <w:rPr>
                <w:rFonts w:ascii="Times New Roman" w:hAnsi="Times New Roman" w:cs="Times New Roman"/>
                <w:color w:val="264A60"/>
              </w:rPr>
            </w:pPr>
          </w:p>
        </w:tc>
        <w:tc>
          <w:tcPr>
            <w:tcW w:w="1042" w:type="dxa"/>
            <w:vMerge/>
            <w:tcBorders>
              <w:top w:val="nil"/>
              <w:left w:val="single" w:sz="8" w:space="0" w:color="E0E0E0"/>
              <w:bottom w:val="nil"/>
              <w:right w:val="nil"/>
              <w:tl2br w:val="nil"/>
              <w:tr2bl w:val="nil"/>
            </w:tcBorders>
            <w:shd w:val="clear" w:color="auto" w:fill="FFFFFF"/>
            <w:vAlign w:val="bottom"/>
          </w:tcPr>
          <w:p w14:paraId="62C42AE7" w14:textId="77777777" w:rsidR="008775EB" w:rsidRPr="004B27B7" w:rsidRDefault="008775EB" w:rsidP="005203B6">
            <w:pPr>
              <w:spacing w:line="240" w:lineRule="auto"/>
              <w:rPr>
                <w:rFonts w:ascii="Times New Roman" w:hAnsi="Times New Roman" w:cs="Times New Roman"/>
                <w:color w:val="264A60"/>
              </w:rPr>
            </w:pPr>
          </w:p>
        </w:tc>
      </w:tr>
      <w:tr w:rsidR="008775EB" w:rsidRPr="004B27B7" w14:paraId="4CD2FFD2" w14:textId="77777777" w:rsidTr="005A76C2">
        <w:trPr>
          <w:cantSplit/>
        </w:trPr>
        <w:tc>
          <w:tcPr>
            <w:tcW w:w="737" w:type="dxa"/>
            <w:vMerge w:val="restart"/>
            <w:tcBorders>
              <w:top w:val="single" w:sz="8" w:space="0" w:color="152935"/>
              <w:left w:val="nil"/>
              <w:bottom w:val="single" w:sz="8" w:space="0" w:color="152935"/>
              <w:right w:val="nil"/>
              <w:tl2br w:val="nil"/>
              <w:tr2bl w:val="nil"/>
            </w:tcBorders>
            <w:shd w:val="clear" w:color="auto" w:fill="E0E0E0"/>
          </w:tcPr>
          <w:p w14:paraId="404C28C8" w14:textId="77777777" w:rsidR="008775EB" w:rsidRPr="004B27B7" w:rsidRDefault="00000000" w:rsidP="005203B6">
            <w:pPr>
              <w:spacing w:line="240" w:lineRule="auto"/>
              <w:ind w:left="60" w:right="60"/>
              <w:rPr>
                <w:rFonts w:ascii="Times New Roman" w:hAnsi="Times New Roman" w:cs="Times New Roman"/>
                <w:color w:val="264A60"/>
              </w:rPr>
            </w:pPr>
            <w:r w:rsidRPr="004B27B7">
              <w:rPr>
                <w:rFonts w:ascii="Times New Roman" w:hAnsi="Times New Roman" w:cs="Times New Roman"/>
                <w:color w:val="264A60"/>
              </w:rPr>
              <w:t>1</w:t>
            </w:r>
          </w:p>
        </w:tc>
        <w:tc>
          <w:tcPr>
            <w:tcW w:w="1183" w:type="dxa"/>
            <w:tcBorders>
              <w:top w:val="single" w:sz="8" w:space="0" w:color="152935"/>
              <w:left w:val="nil"/>
              <w:bottom w:val="single" w:sz="8" w:space="0" w:color="AEAEAE"/>
              <w:right w:val="nil"/>
              <w:tl2br w:val="nil"/>
              <w:tr2bl w:val="nil"/>
            </w:tcBorders>
            <w:shd w:val="clear" w:color="auto" w:fill="E0E0E0"/>
          </w:tcPr>
          <w:p w14:paraId="44C5534D" w14:textId="77777777" w:rsidR="008775EB" w:rsidRPr="004B27B7" w:rsidRDefault="00000000" w:rsidP="005203B6">
            <w:pPr>
              <w:spacing w:line="240" w:lineRule="auto"/>
              <w:ind w:left="60" w:right="60"/>
              <w:rPr>
                <w:rFonts w:ascii="Times New Roman" w:hAnsi="Times New Roman" w:cs="Times New Roman"/>
                <w:color w:val="264A60"/>
              </w:rPr>
            </w:pPr>
            <w:r w:rsidRPr="004B27B7">
              <w:rPr>
                <w:rFonts w:ascii="Times New Roman" w:hAnsi="Times New Roman" w:cs="Times New Roman"/>
                <w:color w:val="264A60"/>
              </w:rPr>
              <w:t>(Constant)</w:t>
            </w:r>
          </w:p>
        </w:tc>
        <w:tc>
          <w:tcPr>
            <w:tcW w:w="1337" w:type="dxa"/>
            <w:tcBorders>
              <w:top w:val="single" w:sz="8" w:space="0" w:color="152935"/>
              <w:left w:val="nil"/>
              <w:bottom w:val="single" w:sz="8" w:space="0" w:color="AEAEAE"/>
              <w:right w:val="single" w:sz="8" w:space="0" w:color="E0E0E0"/>
              <w:tl2br w:val="nil"/>
              <w:tr2bl w:val="nil"/>
            </w:tcBorders>
            <w:shd w:val="clear" w:color="auto" w:fill="FFFFFF"/>
          </w:tcPr>
          <w:p w14:paraId="61199839" w14:textId="77777777" w:rsidR="008775EB" w:rsidRPr="004B27B7" w:rsidRDefault="00000000" w:rsidP="005203B6">
            <w:pPr>
              <w:spacing w:line="240" w:lineRule="auto"/>
              <w:ind w:left="60" w:right="60"/>
              <w:jc w:val="right"/>
              <w:rPr>
                <w:rFonts w:ascii="Times New Roman" w:hAnsi="Times New Roman" w:cs="Times New Roman"/>
                <w:color w:val="010205"/>
              </w:rPr>
            </w:pPr>
            <w:r w:rsidRPr="004B27B7">
              <w:rPr>
                <w:rFonts w:ascii="Times New Roman" w:hAnsi="Times New Roman" w:cs="Times New Roman"/>
                <w:color w:val="010205"/>
              </w:rPr>
              <w:t>-1,251</w:t>
            </w:r>
          </w:p>
        </w:tc>
        <w:tc>
          <w:tcPr>
            <w:tcW w:w="1337" w:type="dxa"/>
            <w:tcBorders>
              <w:top w:val="single" w:sz="8" w:space="0" w:color="152935"/>
              <w:left w:val="single" w:sz="8" w:space="0" w:color="E0E0E0"/>
              <w:bottom w:val="single" w:sz="8" w:space="0" w:color="AEAEAE"/>
              <w:right w:val="single" w:sz="8" w:space="0" w:color="E0E0E0"/>
              <w:tl2br w:val="nil"/>
              <w:tr2bl w:val="nil"/>
            </w:tcBorders>
            <w:shd w:val="clear" w:color="auto" w:fill="FFFFFF"/>
          </w:tcPr>
          <w:p w14:paraId="2DF1A816" w14:textId="77777777" w:rsidR="008775EB" w:rsidRPr="004B27B7" w:rsidRDefault="00000000" w:rsidP="005203B6">
            <w:pPr>
              <w:spacing w:line="240" w:lineRule="auto"/>
              <w:ind w:left="60" w:right="60"/>
              <w:jc w:val="right"/>
              <w:rPr>
                <w:rFonts w:ascii="Times New Roman" w:hAnsi="Times New Roman" w:cs="Times New Roman"/>
                <w:color w:val="010205"/>
              </w:rPr>
            </w:pPr>
            <w:r w:rsidRPr="004B27B7">
              <w:rPr>
                <w:rFonts w:ascii="Times New Roman" w:hAnsi="Times New Roman" w:cs="Times New Roman"/>
                <w:color w:val="010205"/>
              </w:rPr>
              <w:t>,174</w:t>
            </w:r>
          </w:p>
        </w:tc>
        <w:tc>
          <w:tcPr>
            <w:tcW w:w="2636" w:type="dxa"/>
            <w:tcBorders>
              <w:top w:val="single" w:sz="8" w:space="0" w:color="152935"/>
              <w:left w:val="single" w:sz="8" w:space="0" w:color="E0E0E0"/>
              <w:bottom w:val="single" w:sz="8" w:space="0" w:color="AEAEAE"/>
              <w:right w:val="single" w:sz="8" w:space="0" w:color="E0E0E0"/>
              <w:tl2br w:val="nil"/>
              <w:tr2bl w:val="nil"/>
            </w:tcBorders>
            <w:shd w:val="clear" w:color="auto" w:fill="FFFFFF"/>
            <w:vAlign w:val="center"/>
          </w:tcPr>
          <w:p w14:paraId="2ACA249E" w14:textId="77777777" w:rsidR="008775EB" w:rsidRPr="004B27B7" w:rsidRDefault="008775EB" w:rsidP="005203B6">
            <w:pPr>
              <w:spacing w:line="240" w:lineRule="auto"/>
              <w:rPr>
                <w:rFonts w:ascii="Times New Roman" w:hAnsi="Times New Roman" w:cs="Times New Roman"/>
              </w:rPr>
            </w:pPr>
          </w:p>
        </w:tc>
        <w:tc>
          <w:tcPr>
            <w:tcW w:w="878" w:type="dxa"/>
            <w:tcBorders>
              <w:top w:val="single" w:sz="8" w:space="0" w:color="152935"/>
              <w:left w:val="single" w:sz="8" w:space="0" w:color="E0E0E0"/>
              <w:bottom w:val="single" w:sz="8" w:space="0" w:color="AEAEAE"/>
              <w:right w:val="single" w:sz="8" w:space="0" w:color="E0E0E0"/>
              <w:tl2br w:val="nil"/>
              <w:tr2bl w:val="nil"/>
            </w:tcBorders>
            <w:shd w:val="clear" w:color="auto" w:fill="FFFFFF"/>
          </w:tcPr>
          <w:p w14:paraId="27EB85F6" w14:textId="77777777" w:rsidR="008775EB" w:rsidRPr="004B27B7" w:rsidRDefault="00000000" w:rsidP="005203B6">
            <w:pPr>
              <w:spacing w:line="240" w:lineRule="auto"/>
              <w:ind w:left="60" w:right="60"/>
              <w:jc w:val="right"/>
              <w:rPr>
                <w:rFonts w:ascii="Times New Roman" w:hAnsi="Times New Roman" w:cs="Times New Roman"/>
                <w:color w:val="010205"/>
              </w:rPr>
            </w:pPr>
            <w:r w:rsidRPr="004B27B7">
              <w:rPr>
                <w:rFonts w:ascii="Times New Roman" w:hAnsi="Times New Roman" w:cs="Times New Roman"/>
                <w:color w:val="010205"/>
              </w:rPr>
              <w:t>-7,191</w:t>
            </w:r>
          </w:p>
        </w:tc>
        <w:tc>
          <w:tcPr>
            <w:tcW w:w="1042" w:type="dxa"/>
            <w:tcBorders>
              <w:top w:val="single" w:sz="8" w:space="0" w:color="152935"/>
              <w:left w:val="single" w:sz="8" w:space="0" w:color="E0E0E0"/>
              <w:bottom w:val="single" w:sz="8" w:space="0" w:color="AEAEAE"/>
              <w:right w:val="nil"/>
              <w:tl2br w:val="nil"/>
              <w:tr2bl w:val="nil"/>
            </w:tcBorders>
            <w:shd w:val="clear" w:color="auto" w:fill="FFFFFF"/>
          </w:tcPr>
          <w:p w14:paraId="117EE990" w14:textId="77777777" w:rsidR="008775EB" w:rsidRPr="004B27B7" w:rsidRDefault="00000000" w:rsidP="005203B6">
            <w:pPr>
              <w:spacing w:line="240" w:lineRule="auto"/>
              <w:ind w:left="60" w:right="60"/>
              <w:jc w:val="right"/>
              <w:rPr>
                <w:rFonts w:ascii="Times New Roman" w:hAnsi="Times New Roman" w:cs="Times New Roman"/>
                <w:color w:val="010205"/>
              </w:rPr>
            </w:pPr>
            <w:r w:rsidRPr="004B27B7">
              <w:rPr>
                <w:rFonts w:ascii="Times New Roman" w:hAnsi="Times New Roman" w:cs="Times New Roman"/>
                <w:color w:val="010205"/>
              </w:rPr>
              <w:t>,000</w:t>
            </w:r>
          </w:p>
        </w:tc>
      </w:tr>
      <w:tr w:rsidR="008775EB" w:rsidRPr="004B27B7" w14:paraId="2AE4FFFC" w14:textId="77777777" w:rsidTr="005A76C2">
        <w:trPr>
          <w:cantSplit/>
        </w:trPr>
        <w:tc>
          <w:tcPr>
            <w:tcW w:w="737" w:type="dxa"/>
            <w:vMerge/>
            <w:tcBorders>
              <w:top w:val="single" w:sz="8" w:space="0" w:color="152935"/>
              <w:left w:val="nil"/>
              <w:bottom w:val="single" w:sz="8" w:space="0" w:color="152935"/>
              <w:right w:val="nil"/>
              <w:tl2br w:val="nil"/>
              <w:tr2bl w:val="nil"/>
            </w:tcBorders>
            <w:shd w:val="clear" w:color="auto" w:fill="E0E0E0"/>
          </w:tcPr>
          <w:p w14:paraId="55ACF234" w14:textId="77777777" w:rsidR="008775EB" w:rsidRPr="004B27B7" w:rsidRDefault="008775EB" w:rsidP="005203B6">
            <w:pPr>
              <w:spacing w:line="240" w:lineRule="auto"/>
              <w:rPr>
                <w:rFonts w:ascii="Times New Roman" w:hAnsi="Times New Roman" w:cs="Times New Roman"/>
                <w:color w:val="010205"/>
              </w:rPr>
            </w:pPr>
          </w:p>
        </w:tc>
        <w:tc>
          <w:tcPr>
            <w:tcW w:w="1183" w:type="dxa"/>
            <w:tcBorders>
              <w:top w:val="single" w:sz="8" w:space="0" w:color="AEAEAE"/>
              <w:left w:val="nil"/>
              <w:bottom w:val="single" w:sz="8" w:space="0" w:color="152935"/>
              <w:right w:val="nil"/>
              <w:tl2br w:val="nil"/>
              <w:tr2bl w:val="nil"/>
            </w:tcBorders>
            <w:shd w:val="clear" w:color="auto" w:fill="E0E0E0"/>
          </w:tcPr>
          <w:p w14:paraId="66D4A9B4" w14:textId="77777777" w:rsidR="008775EB" w:rsidRPr="004B27B7" w:rsidRDefault="00000000" w:rsidP="005203B6">
            <w:pPr>
              <w:spacing w:line="240" w:lineRule="auto"/>
              <w:ind w:left="60" w:right="60"/>
              <w:rPr>
                <w:rFonts w:ascii="Times New Roman" w:hAnsi="Times New Roman" w:cs="Times New Roman"/>
                <w:color w:val="264A60"/>
              </w:rPr>
            </w:pPr>
            <w:r w:rsidRPr="004B27B7">
              <w:rPr>
                <w:rFonts w:ascii="Times New Roman" w:hAnsi="Times New Roman" w:cs="Times New Roman"/>
                <w:color w:val="264A60"/>
              </w:rPr>
              <w:t>GA</w:t>
            </w:r>
          </w:p>
        </w:tc>
        <w:tc>
          <w:tcPr>
            <w:tcW w:w="1337" w:type="dxa"/>
            <w:tcBorders>
              <w:top w:val="single" w:sz="8" w:space="0" w:color="AEAEAE"/>
              <w:left w:val="nil"/>
              <w:bottom w:val="single" w:sz="8" w:space="0" w:color="152935"/>
              <w:right w:val="single" w:sz="8" w:space="0" w:color="E0E0E0"/>
              <w:tl2br w:val="nil"/>
              <w:tr2bl w:val="nil"/>
            </w:tcBorders>
            <w:shd w:val="clear" w:color="auto" w:fill="FFFFFF"/>
          </w:tcPr>
          <w:p w14:paraId="077F3F0D" w14:textId="77777777" w:rsidR="008775EB" w:rsidRPr="004B27B7" w:rsidRDefault="00000000" w:rsidP="005203B6">
            <w:pPr>
              <w:spacing w:line="240" w:lineRule="auto"/>
              <w:ind w:left="60" w:right="60"/>
              <w:jc w:val="right"/>
              <w:rPr>
                <w:rFonts w:ascii="Times New Roman" w:hAnsi="Times New Roman" w:cs="Times New Roman"/>
                <w:color w:val="010205"/>
              </w:rPr>
            </w:pPr>
            <w:r w:rsidRPr="004B27B7">
              <w:rPr>
                <w:rFonts w:ascii="Times New Roman" w:hAnsi="Times New Roman" w:cs="Times New Roman"/>
                <w:color w:val="010205"/>
              </w:rPr>
              <w:t>11,512</w:t>
            </w:r>
          </w:p>
        </w:tc>
        <w:tc>
          <w:tcPr>
            <w:tcW w:w="1337" w:type="dxa"/>
            <w:tcBorders>
              <w:top w:val="single" w:sz="8" w:space="0" w:color="AEAEAE"/>
              <w:left w:val="single" w:sz="8" w:space="0" w:color="E0E0E0"/>
              <w:bottom w:val="single" w:sz="8" w:space="0" w:color="152935"/>
              <w:right w:val="single" w:sz="8" w:space="0" w:color="E0E0E0"/>
              <w:tl2br w:val="nil"/>
              <w:tr2bl w:val="nil"/>
            </w:tcBorders>
            <w:shd w:val="clear" w:color="auto" w:fill="FFFFFF"/>
          </w:tcPr>
          <w:p w14:paraId="37A29556" w14:textId="77777777" w:rsidR="008775EB" w:rsidRPr="004B27B7" w:rsidRDefault="00000000" w:rsidP="005203B6">
            <w:pPr>
              <w:spacing w:line="240" w:lineRule="auto"/>
              <w:ind w:left="60" w:right="60"/>
              <w:jc w:val="right"/>
              <w:rPr>
                <w:rFonts w:ascii="Times New Roman" w:hAnsi="Times New Roman" w:cs="Times New Roman"/>
                <w:color w:val="010205"/>
              </w:rPr>
            </w:pPr>
            <w:r w:rsidRPr="004B27B7">
              <w:rPr>
                <w:rFonts w:ascii="Times New Roman" w:hAnsi="Times New Roman" w:cs="Times New Roman"/>
                <w:color w:val="010205"/>
              </w:rPr>
              <w:t>5,256</w:t>
            </w:r>
          </w:p>
        </w:tc>
        <w:tc>
          <w:tcPr>
            <w:tcW w:w="2636" w:type="dxa"/>
            <w:tcBorders>
              <w:top w:val="single" w:sz="8" w:space="0" w:color="AEAEAE"/>
              <w:left w:val="single" w:sz="8" w:space="0" w:color="E0E0E0"/>
              <w:bottom w:val="single" w:sz="8" w:space="0" w:color="152935"/>
              <w:right w:val="single" w:sz="8" w:space="0" w:color="E0E0E0"/>
              <w:tl2br w:val="nil"/>
              <w:tr2bl w:val="nil"/>
            </w:tcBorders>
            <w:shd w:val="clear" w:color="auto" w:fill="FFFFFF"/>
          </w:tcPr>
          <w:p w14:paraId="7347E63F" w14:textId="77777777" w:rsidR="008775EB" w:rsidRPr="004B27B7" w:rsidRDefault="00000000" w:rsidP="005203B6">
            <w:pPr>
              <w:spacing w:line="240" w:lineRule="auto"/>
              <w:ind w:left="60" w:right="60"/>
              <w:jc w:val="right"/>
              <w:rPr>
                <w:rFonts w:ascii="Times New Roman" w:hAnsi="Times New Roman" w:cs="Times New Roman"/>
                <w:color w:val="010205"/>
              </w:rPr>
            </w:pPr>
            <w:r w:rsidRPr="004B27B7">
              <w:rPr>
                <w:rFonts w:ascii="Times New Roman" w:hAnsi="Times New Roman" w:cs="Times New Roman"/>
                <w:color w:val="010205"/>
              </w:rPr>
              <w:t>,274</w:t>
            </w:r>
          </w:p>
        </w:tc>
        <w:tc>
          <w:tcPr>
            <w:tcW w:w="878" w:type="dxa"/>
            <w:tcBorders>
              <w:top w:val="single" w:sz="8" w:space="0" w:color="AEAEAE"/>
              <w:left w:val="single" w:sz="8" w:space="0" w:color="E0E0E0"/>
              <w:bottom w:val="single" w:sz="8" w:space="0" w:color="152935"/>
              <w:right w:val="single" w:sz="8" w:space="0" w:color="E0E0E0"/>
              <w:tl2br w:val="nil"/>
              <w:tr2bl w:val="nil"/>
            </w:tcBorders>
            <w:shd w:val="clear" w:color="auto" w:fill="FFFFFF"/>
          </w:tcPr>
          <w:p w14:paraId="2858EF35" w14:textId="77777777" w:rsidR="008775EB" w:rsidRPr="004B27B7" w:rsidRDefault="00000000" w:rsidP="005203B6">
            <w:pPr>
              <w:spacing w:line="240" w:lineRule="auto"/>
              <w:ind w:left="60" w:right="60"/>
              <w:jc w:val="right"/>
              <w:rPr>
                <w:rFonts w:ascii="Times New Roman" w:hAnsi="Times New Roman" w:cs="Times New Roman"/>
                <w:color w:val="010205"/>
              </w:rPr>
            </w:pPr>
            <w:r w:rsidRPr="004B27B7">
              <w:rPr>
                <w:rFonts w:ascii="Times New Roman" w:hAnsi="Times New Roman" w:cs="Times New Roman"/>
                <w:color w:val="010205"/>
              </w:rPr>
              <w:t>2,190</w:t>
            </w:r>
          </w:p>
        </w:tc>
        <w:tc>
          <w:tcPr>
            <w:tcW w:w="1042" w:type="dxa"/>
            <w:tcBorders>
              <w:top w:val="single" w:sz="8" w:space="0" w:color="AEAEAE"/>
              <w:left w:val="single" w:sz="8" w:space="0" w:color="E0E0E0"/>
              <w:bottom w:val="single" w:sz="8" w:space="0" w:color="152935"/>
              <w:right w:val="nil"/>
              <w:tl2br w:val="nil"/>
              <w:tr2bl w:val="nil"/>
            </w:tcBorders>
            <w:shd w:val="clear" w:color="auto" w:fill="FFFFFF"/>
          </w:tcPr>
          <w:p w14:paraId="76DD8284" w14:textId="77777777" w:rsidR="008775EB" w:rsidRPr="004B27B7" w:rsidRDefault="00000000" w:rsidP="005203B6">
            <w:pPr>
              <w:spacing w:line="240" w:lineRule="auto"/>
              <w:ind w:left="60" w:right="60"/>
              <w:jc w:val="right"/>
              <w:rPr>
                <w:rFonts w:ascii="Times New Roman" w:hAnsi="Times New Roman" w:cs="Times New Roman"/>
                <w:color w:val="010205"/>
              </w:rPr>
            </w:pPr>
            <w:r w:rsidRPr="004B27B7">
              <w:rPr>
                <w:rFonts w:ascii="Times New Roman" w:hAnsi="Times New Roman" w:cs="Times New Roman"/>
                <w:color w:val="010205"/>
              </w:rPr>
              <w:t>,032</w:t>
            </w:r>
          </w:p>
        </w:tc>
      </w:tr>
      <w:tr w:rsidR="008775EB" w:rsidRPr="004B27B7" w14:paraId="7C1E8730" w14:textId="77777777">
        <w:trPr>
          <w:cantSplit/>
        </w:trPr>
        <w:tc>
          <w:tcPr>
            <w:tcW w:w="9150" w:type="dxa"/>
            <w:gridSpan w:val="7"/>
            <w:tcBorders>
              <w:top w:val="nil"/>
              <w:left w:val="nil"/>
              <w:bottom w:val="nil"/>
              <w:right w:val="nil"/>
              <w:tl2br w:val="nil"/>
              <w:tr2bl w:val="nil"/>
            </w:tcBorders>
            <w:shd w:val="clear" w:color="auto" w:fill="FFFFFF"/>
          </w:tcPr>
          <w:p w14:paraId="2E3D2E1B" w14:textId="77777777" w:rsidR="008775EB" w:rsidRPr="004B27B7" w:rsidRDefault="00000000" w:rsidP="005203B6">
            <w:pPr>
              <w:spacing w:line="240" w:lineRule="auto"/>
              <w:ind w:left="60" w:right="60"/>
              <w:rPr>
                <w:rFonts w:ascii="Times New Roman" w:hAnsi="Times New Roman" w:cs="Times New Roman"/>
                <w:color w:val="010205"/>
              </w:rPr>
            </w:pPr>
            <w:r w:rsidRPr="004B27B7">
              <w:rPr>
                <w:rFonts w:ascii="Times New Roman" w:hAnsi="Times New Roman" w:cs="Times New Roman"/>
                <w:color w:val="010205"/>
              </w:rPr>
              <w:t>a. Dependent Variable: P</w:t>
            </w:r>
          </w:p>
        </w:tc>
      </w:tr>
    </w:tbl>
    <w:p w14:paraId="3A354448" w14:textId="77777777" w:rsidR="008775EB" w:rsidRPr="004B27B7" w:rsidRDefault="00000000" w:rsidP="004B27B7">
      <w:pPr>
        <w:spacing w:line="360" w:lineRule="auto"/>
        <w:jc w:val="both"/>
        <w:rPr>
          <w:rFonts w:ascii="Times New Roman" w:hAnsi="Times New Roman" w:cs="Times New Roman"/>
          <w:i/>
          <w:iCs/>
          <w:sz w:val="24"/>
          <w:szCs w:val="24"/>
        </w:rPr>
      </w:pPr>
      <w:r w:rsidRPr="004B27B7">
        <w:rPr>
          <w:rFonts w:ascii="Times New Roman" w:hAnsi="Times New Roman" w:cs="Times New Roman"/>
          <w:i/>
          <w:iCs/>
          <w:sz w:val="24"/>
          <w:szCs w:val="24"/>
        </w:rPr>
        <w:t>Sumber: Output SPSS 26, Data sekunder telah diolah</w:t>
      </w:r>
    </w:p>
    <w:p w14:paraId="6EA87BB1" w14:textId="7F384421" w:rsidR="004B27B7" w:rsidRPr="005A76C2" w:rsidRDefault="00000000" w:rsidP="005A76C2">
      <w:pPr>
        <w:spacing w:line="360" w:lineRule="auto"/>
        <w:ind w:firstLine="720"/>
        <w:jc w:val="both"/>
        <w:rPr>
          <w:rFonts w:ascii="Times New Roman" w:hAnsi="Times New Roman" w:cs="Times New Roman"/>
          <w:sz w:val="24"/>
          <w:szCs w:val="24"/>
        </w:rPr>
      </w:pPr>
      <w:r w:rsidRPr="004B27B7">
        <w:rPr>
          <w:rFonts w:ascii="Times New Roman" w:hAnsi="Times New Roman" w:cs="Times New Roman"/>
          <w:sz w:val="24"/>
          <w:szCs w:val="24"/>
        </w:rPr>
        <w:t xml:space="preserve">Berdasarkan hasil uji t dapat diketahui besarnya nilai signifikansi dan t hitung dari variabel </w:t>
      </w:r>
      <w:r w:rsidRPr="004B27B7">
        <w:rPr>
          <w:rFonts w:ascii="Times New Roman" w:hAnsi="Times New Roman" w:cs="Times New Roman"/>
          <w:i/>
          <w:iCs/>
          <w:sz w:val="24"/>
          <w:szCs w:val="24"/>
        </w:rPr>
        <w:t>green accounting</w:t>
      </w:r>
      <w:r w:rsidRPr="004B27B7">
        <w:rPr>
          <w:rFonts w:ascii="Times New Roman" w:hAnsi="Times New Roman" w:cs="Times New Roman"/>
          <w:sz w:val="24"/>
          <w:szCs w:val="24"/>
        </w:rPr>
        <w:t xml:space="preserve"> adalah sebesar 0,032 dan 2,190. Nilai signifikansi tersebut lebih kecil dari nilai 0,05 (0,032 &lt; 0,05) dan t hitung lebih besar dari t tabel ( 2,190 &gt; 1.660 ) maka H1 diterima. Sehingga dapat disimpulkan </w:t>
      </w:r>
      <w:r w:rsidRPr="004B27B7">
        <w:rPr>
          <w:rFonts w:ascii="Times New Roman" w:hAnsi="Times New Roman" w:cs="Times New Roman"/>
          <w:i/>
          <w:iCs/>
          <w:sz w:val="24"/>
          <w:szCs w:val="24"/>
        </w:rPr>
        <w:t xml:space="preserve">green accounting </w:t>
      </w:r>
      <w:r w:rsidRPr="004B27B7">
        <w:rPr>
          <w:rFonts w:ascii="Times New Roman" w:hAnsi="Times New Roman" w:cs="Times New Roman"/>
          <w:sz w:val="24"/>
          <w:szCs w:val="24"/>
        </w:rPr>
        <w:t xml:space="preserve">berpengaruh terhadap </w:t>
      </w:r>
      <w:r w:rsidRPr="004B27B7">
        <w:rPr>
          <w:rFonts w:ascii="Times New Roman" w:hAnsi="Times New Roman" w:cs="Times New Roman"/>
          <w:i/>
          <w:iCs/>
          <w:sz w:val="24"/>
          <w:szCs w:val="24"/>
        </w:rPr>
        <w:t>profitabilitas</w:t>
      </w:r>
      <w:r w:rsidRPr="004B27B7">
        <w:rPr>
          <w:rFonts w:ascii="Times New Roman" w:hAnsi="Times New Roman" w:cs="Times New Roman"/>
          <w:sz w:val="24"/>
          <w:szCs w:val="24"/>
        </w:rPr>
        <w:t>.</w:t>
      </w:r>
    </w:p>
    <w:p w14:paraId="39D34E5C" w14:textId="74229B30" w:rsidR="008775EB" w:rsidRPr="004B27B7" w:rsidRDefault="00000000" w:rsidP="004B27B7">
      <w:pPr>
        <w:spacing w:line="360" w:lineRule="auto"/>
        <w:jc w:val="center"/>
        <w:rPr>
          <w:rFonts w:ascii="Times New Roman" w:hAnsi="Times New Roman" w:cs="Times New Roman"/>
          <w:sz w:val="24"/>
          <w:szCs w:val="24"/>
        </w:rPr>
      </w:pPr>
      <w:r w:rsidRPr="004B27B7">
        <w:rPr>
          <w:rFonts w:ascii="Times New Roman" w:hAnsi="Times New Roman" w:cs="Times New Roman"/>
          <w:b/>
          <w:bCs/>
          <w:sz w:val="24"/>
          <w:szCs w:val="24"/>
        </w:rPr>
        <w:lastRenderedPageBreak/>
        <w:t>Tabel 4.8 Uji Koefisien Determinasi (R2)</w:t>
      </w:r>
    </w:p>
    <w:tbl>
      <w:tblPr>
        <w:tblW w:w="91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99"/>
        <w:gridCol w:w="1029"/>
        <w:gridCol w:w="1091"/>
        <w:gridCol w:w="2981"/>
        <w:gridCol w:w="3250"/>
      </w:tblGrid>
      <w:tr w:rsidR="008775EB" w:rsidRPr="004B27B7" w14:paraId="7F12EC6D" w14:textId="77777777">
        <w:trPr>
          <w:cantSplit/>
        </w:trPr>
        <w:tc>
          <w:tcPr>
            <w:tcW w:w="9150" w:type="dxa"/>
            <w:gridSpan w:val="5"/>
            <w:tcBorders>
              <w:top w:val="nil"/>
              <w:left w:val="nil"/>
              <w:bottom w:val="nil"/>
              <w:right w:val="nil"/>
              <w:tl2br w:val="nil"/>
              <w:tr2bl w:val="nil"/>
            </w:tcBorders>
            <w:shd w:val="clear" w:color="auto" w:fill="FFFFFF"/>
            <w:vAlign w:val="center"/>
          </w:tcPr>
          <w:p w14:paraId="7A71E95F" w14:textId="77777777" w:rsidR="008775EB" w:rsidRPr="004B27B7" w:rsidRDefault="00000000" w:rsidP="005203B6">
            <w:pPr>
              <w:spacing w:line="240" w:lineRule="auto"/>
              <w:ind w:left="60" w:right="60"/>
              <w:jc w:val="center"/>
              <w:rPr>
                <w:rFonts w:ascii="Times New Roman" w:hAnsi="Times New Roman" w:cs="Times New Roman"/>
                <w:color w:val="010205"/>
              </w:rPr>
            </w:pPr>
            <w:r w:rsidRPr="004B27B7">
              <w:rPr>
                <w:rFonts w:ascii="Times New Roman" w:hAnsi="Times New Roman" w:cs="Times New Roman"/>
                <w:b/>
                <w:color w:val="010205"/>
              </w:rPr>
              <w:t>Model Summary</w:t>
            </w:r>
          </w:p>
        </w:tc>
      </w:tr>
      <w:tr w:rsidR="008775EB" w:rsidRPr="004B27B7" w14:paraId="5C277662" w14:textId="77777777">
        <w:trPr>
          <w:cantSplit/>
        </w:trPr>
        <w:tc>
          <w:tcPr>
            <w:tcW w:w="799" w:type="dxa"/>
            <w:tcBorders>
              <w:top w:val="nil"/>
              <w:left w:val="nil"/>
              <w:bottom w:val="single" w:sz="8" w:space="0" w:color="152935"/>
              <w:right w:val="nil"/>
              <w:tl2br w:val="nil"/>
              <w:tr2bl w:val="nil"/>
            </w:tcBorders>
            <w:shd w:val="clear" w:color="auto" w:fill="FFFFFF"/>
            <w:vAlign w:val="bottom"/>
          </w:tcPr>
          <w:p w14:paraId="140508D0" w14:textId="77777777" w:rsidR="008775EB" w:rsidRPr="004B27B7" w:rsidRDefault="00000000" w:rsidP="005203B6">
            <w:pPr>
              <w:spacing w:line="240" w:lineRule="auto"/>
              <w:ind w:left="60" w:right="60"/>
              <w:rPr>
                <w:rFonts w:ascii="Times New Roman" w:hAnsi="Times New Roman" w:cs="Times New Roman"/>
                <w:color w:val="264A60"/>
              </w:rPr>
            </w:pPr>
            <w:r w:rsidRPr="004B27B7">
              <w:rPr>
                <w:rFonts w:ascii="Times New Roman" w:hAnsi="Times New Roman" w:cs="Times New Roman"/>
                <w:color w:val="264A60"/>
              </w:rPr>
              <w:t>Model</w:t>
            </w:r>
          </w:p>
        </w:tc>
        <w:tc>
          <w:tcPr>
            <w:tcW w:w="1029" w:type="dxa"/>
            <w:tcBorders>
              <w:top w:val="nil"/>
              <w:left w:val="nil"/>
              <w:bottom w:val="single" w:sz="8" w:space="0" w:color="152935"/>
              <w:right w:val="single" w:sz="8" w:space="0" w:color="E0E0E0"/>
              <w:tl2br w:val="nil"/>
              <w:tr2bl w:val="nil"/>
            </w:tcBorders>
            <w:shd w:val="clear" w:color="auto" w:fill="FFFFFF"/>
            <w:vAlign w:val="bottom"/>
          </w:tcPr>
          <w:p w14:paraId="202FC6BE" w14:textId="77777777" w:rsidR="008775EB" w:rsidRPr="004B27B7" w:rsidRDefault="00000000" w:rsidP="005203B6">
            <w:pPr>
              <w:spacing w:line="240" w:lineRule="auto"/>
              <w:ind w:left="60" w:right="60"/>
              <w:jc w:val="center"/>
              <w:rPr>
                <w:rFonts w:ascii="Times New Roman" w:hAnsi="Times New Roman" w:cs="Times New Roman"/>
                <w:color w:val="264A60"/>
              </w:rPr>
            </w:pPr>
            <w:r w:rsidRPr="004B27B7">
              <w:rPr>
                <w:rFonts w:ascii="Times New Roman" w:hAnsi="Times New Roman" w:cs="Times New Roman"/>
                <w:color w:val="264A60"/>
              </w:rPr>
              <w:t>R</w:t>
            </w:r>
          </w:p>
        </w:tc>
        <w:tc>
          <w:tcPr>
            <w:tcW w:w="1091" w:type="dxa"/>
            <w:tcBorders>
              <w:top w:val="nil"/>
              <w:left w:val="single" w:sz="8" w:space="0" w:color="E0E0E0"/>
              <w:bottom w:val="single" w:sz="8" w:space="0" w:color="152935"/>
              <w:right w:val="single" w:sz="8" w:space="0" w:color="E0E0E0"/>
              <w:tl2br w:val="nil"/>
              <w:tr2bl w:val="nil"/>
            </w:tcBorders>
            <w:shd w:val="clear" w:color="auto" w:fill="FFFFFF"/>
            <w:vAlign w:val="bottom"/>
          </w:tcPr>
          <w:p w14:paraId="63E81CD2" w14:textId="77777777" w:rsidR="008775EB" w:rsidRPr="004B27B7" w:rsidRDefault="00000000" w:rsidP="005203B6">
            <w:pPr>
              <w:spacing w:line="240" w:lineRule="auto"/>
              <w:ind w:left="60" w:right="60"/>
              <w:jc w:val="center"/>
              <w:rPr>
                <w:rFonts w:ascii="Times New Roman" w:hAnsi="Times New Roman" w:cs="Times New Roman"/>
                <w:color w:val="264A60"/>
              </w:rPr>
            </w:pPr>
            <w:r w:rsidRPr="004B27B7">
              <w:rPr>
                <w:rFonts w:ascii="Times New Roman" w:hAnsi="Times New Roman" w:cs="Times New Roman"/>
                <w:color w:val="264A60"/>
              </w:rPr>
              <w:t>R Square</w:t>
            </w:r>
          </w:p>
        </w:tc>
        <w:tc>
          <w:tcPr>
            <w:tcW w:w="2981" w:type="dxa"/>
            <w:tcBorders>
              <w:top w:val="nil"/>
              <w:left w:val="single" w:sz="8" w:space="0" w:color="E0E0E0"/>
              <w:bottom w:val="single" w:sz="8" w:space="0" w:color="152935"/>
              <w:right w:val="single" w:sz="8" w:space="0" w:color="E0E0E0"/>
              <w:tl2br w:val="nil"/>
              <w:tr2bl w:val="nil"/>
            </w:tcBorders>
            <w:shd w:val="clear" w:color="auto" w:fill="FFFFFF"/>
            <w:vAlign w:val="bottom"/>
          </w:tcPr>
          <w:p w14:paraId="5AA68E29" w14:textId="77777777" w:rsidR="008775EB" w:rsidRPr="004B27B7" w:rsidRDefault="00000000" w:rsidP="005203B6">
            <w:pPr>
              <w:spacing w:line="240" w:lineRule="auto"/>
              <w:ind w:left="60" w:right="60"/>
              <w:jc w:val="center"/>
              <w:rPr>
                <w:rFonts w:ascii="Times New Roman" w:hAnsi="Times New Roman" w:cs="Times New Roman"/>
                <w:color w:val="264A60"/>
              </w:rPr>
            </w:pPr>
            <w:r w:rsidRPr="004B27B7">
              <w:rPr>
                <w:rFonts w:ascii="Times New Roman" w:hAnsi="Times New Roman" w:cs="Times New Roman"/>
                <w:color w:val="264A60"/>
              </w:rPr>
              <w:t>Adjusted R Square</w:t>
            </w:r>
          </w:p>
        </w:tc>
        <w:tc>
          <w:tcPr>
            <w:tcW w:w="3250" w:type="dxa"/>
            <w:tcBorders>
              <w:top w:val="nil"/>
              <w:left w:val="single" w:sz="8" w:space="0" w:color="E0E0E0"/>
              <w:bottom w:val="single" w:sz="8" w:space="0" w:color="152935"/>
              <w:right w:val="nil"/>
              <w:tl2br w:val="nil"/>
              <w:tr2bl w:val="nil"/>
            </w:tcBorders>
            <w:shd w:val="clear" w:color="auto" w:fill="FFFFFF"/>
            <w:vAlign w:val="bottom"/>
          </w:tcPr>
          <w:p w14:paraId="42A8ADFC" w14:textId="77777777" w:rsidR="008775EB" w:rsidRPr="004B27B7" w:rsidRDefault="00000000" w:rsidP="005203B6">
            <w:pPr>
              <w:spacing w:line="240" w:lineRule="auto"/>
              <w:ind w:left="60" w:right="60"/>
              <w:jc w:val="center"/>
              <w:rPr>
                <w:rFonts w:ascii="Times New Roman" w:hAnsi="Times New Roman" w:cs="Times New Roman"/>
                <w:color w:val="264A60"/>
              </w:rPr>
            </w:pPr>
            <w:r w:rsidRPr="004B27B7">
              <w:rPr>
                <w:rFonts w:ascii="Times New Roman" w:hAnsi="Times New Roman" w:cs="Times New Roman"/>
                <w:color w:val="264A60"/>
              </w:rPr>
              <w:t>Std. Error of the Estimate</w:t>
            </w:r>
          </w:p>
        </w:tc>
      </w:tr>
      <w:tr w:rsidR="008775EB" w:rsidRPr="004B27B7" w14:paraId="2499581F" w14:textId="77777777">
        <w:trPr>
          <w:cantSplit/>
        </w:trPr>
        <w:tc>
          <w:tcPr>
            <w:tcW w:w="799" w:type="dxa"/>
            <w:tcBorders>
              <w:top w:val="single" w:sz="8" w:space="0" w:color="152935"/>
              <w:left w:val="nil"/>
              <w:bottom w:val="single" w:sz="8" w:space="0" w:color="152935"/>
              <w:right w:val="nil"/>
              <w:tl2br w:val="nil"/>
              <w:tr2bl w:val="nil"/>
            </w:tcBorders>
            <w:shd w:val="clear" w:color="auto" w:fill="E0E0E0"/>
          </w:tcPr>
          <w:p w14:paraId="70F585A2" w14:textId="77777777" w:rsidR="008775EB" w:rsidRPr="004B27B7" w:rsidRDefault="00000000" w:rsidP="005203B6">
            <w:pPr>
              <w:spacing w:line="240" w:lineRule="auto"/>
              <w:ind w:left="60" w:right="60"/>
              <w:rPr>
                <w:rFonts w:ascii="Times New Roman" w:hAnsi="Times New Roman" w:cs="Times New Roman"/>
                <w:color w:val="264A60"/>
              </w:rPr>
            </w:pPr>
            <w:r w:rsidRPr="004B27B7">
              <w:rPr>
                <w:rFonts w:ascii="Times New Roman" w:hAnsi="Times New Roman" w:cs="Times New Roman"/>
                <w:color w:val="264A60"/>
              </w:rPr>
              <w:t>1</w:t>
            </w:r>
          </w:p>
        </w:tc>
        <w:tc>
          <w:tcPr>
            <w:tcW w:w="1029" w:type="dxa"/>
            <w:tcBorders>
              <w:top w:val="single" w:sz="8" w:space="0" w:color="152935"/>
              <w:left w:val="nil"/>
              <w:bottom w:val="single" w:sz="8" w:space="0" w:color="152935"/>
              <w:right w:val="single" w:sz="8" w:space="0" w:color="E0E0E0"/>
              <w:tl2br w:val="nil"/>
              <w:tr2bl w:val="nil"/>
            </w:tcBorders>
            <w:shd w:val="clear" w:color="auto" w:fill="FFFFFF"/>
          </w:tcPr>
          <w:p w14:paraId="1614979B" w14:textId="77777777" w:rsidR="008775EB" w:rsidRPr="004B27B7" w:rsidRDefault="00000000" w:rsidP="005203B6">
            <w:pPr>
              <w:spacing w:line="240" w:lineRule="auto"/>
              <w:ind w:left="60" w:right="60"/>
              <w:jc w:val="right"/>
              <w:rPr>
                <w:rFonts w:ascii="Times New Roman" w:hAnsi="Times New Roman" w:cs="Times New Roman"/>
                <w:color w:val="010205"/>
              </w:rPr>
            </w:pPr>
            <w:r w:rsidRPr="004B27B7">
              <w:rPr>
                <w:rFonts w:ascii="Times New Roman" w:hAnsi="Times New Roman" w:cs="Times New Roman"/>
                <w:color w:val="010205"/>
              </w:rPr>
              <w:t>,274</w:t>
            </w:r>
            <w:r w:rsidRPr="004B27B7">
              <w:rPr>
                <w:rFonts w:ascii="Times New Roman" w:hAnsi="Times New Roman" w:cs="Times New Roman"/>
                <w:color w:val="010205"/>
                <w:vertAlign w:val="superscript"/>
              </w:rPr>
              <w:t>a</w:t>
            </w:r>
          </w:p>
        </w:tc>
        <w:tc>
          <w:tcPr>
            <w:tcW w:w="1091" w:type="dxa"/>
            <w:tcBorders>
              <w:top w:val="single" w:sz="8" w:space="0" w:color="152935"/>
              <w:left w:val="single" w:sz="8" w:space="0" w:color="E0E0E0"/>
              <w:bottom w:val="single" w:sz="8" w:space="0" w:color="152935"/>
              <w:right w:val="single" w:sz="8" w:space="0" w:color="E0E0E0"/>
              <w:tl2br w:val="nil"/>
              <w:tr2bl w:val="nil"/>
            </w:tcBorders>
            <w:shd w:val="clear" w:color="auto" w:fill="FFFFFF"/>
          </w:tcPr>
          <w:p w14:paraId="2F08E39C" w14:textId="77777777" w:rsidR="008775EB" w:rsidRPr="004B27B7" w:rsidRDefault="00000000" w:rsidP="005203B6">
            <w:pPr>
              <w:spacing w:line="240" w:lineRule="auto"/>
              <w:ind w:left="60" w:right="60"/>
              <w:jc w:val="right"/>
              <w:rPr>
                <w:rFonts w:ascii="Times New Roman" w:hAnsi="Times New Roman" w:cs="Times New Roman"/>
                <w:color w:val="010205"/>
              </w:rPr>
            </w:pPr>
            <w:r w:rsidRPr="004B27B7">
              <w:rPr>
                <w:rFonts w:ascii="Times New Roman" w:hAnsi="Times New Roman" w:cs="Times New Roman"/>
                <w:color w:val="010205"/>
              </w:rPr>
              <w:t>,075</w:t>
            </w:r>
          </w:p>
        </w:tc>
        <w:tc>
          <w:tcPr>
            <w:tcW w:w="2981" w:type="dxa"/>
            <w:tcBorders>
              <w:top w:val="single" w:sz="8" w:space="0" w:color="152935"/>
              <w:left w:val="single" w:sz="8" w:space="0" w:color="E0E0E0"/>
              <w:bottom w:val="single" w:sz="8" w:space="0" w:color="152935"/>
              <w:right w:val="single" w:sz="8" w:space="0" w:color="E0E0E0"/>
              <w:tl2br w:val="nil"/>
              <w:tr2bl w:val="nil"/>
            </w:tcBorders>
            <w:shd w:val="clear" w:color="auto" w:fill="FFFFFF"/>
          </w:tcPr>
          <w:p w14:paraId="0310AA66" w14:textId="77777777" w:rsidR="008775EB" w:rsidRPr="004B27B7" w:rsidRDefault="00000000" w:rsidP="005203B6">
            <w:pPr>
              <w:spacing w:line="240" w:lineRule="auto"/>
              <w:ind w:left="60" w:right="60"/>
              <w:jc w:val="right"/>
              <w:rPr>
                <w:rFonts w:ascii="Times New Roman" w:hAnsi="Times New Roman" w:cs="Times New Roman"/>
                <w:color w:val="010205"/>
              </w:rPr>
            </w:pPr>
            <w:r w:rsidRPr="004B27B7">
              <w:rPr>
                <w:rFonts w:ascii="Times New Roman" w:hAnsi="Times New Roman" w:cs="Times New Roman"/>
                <w:color w:val="010205"/>
              </w:rPr>
              <w:t>,060</w:t>
            </w:r>
          </w:p>
        </w:tc>
        <w:tc>
          <w:tcPr>
            <w:tcW w:w="3250" w:type="dxa"/>
            <w:tcBorders>
              <w:top w:val="single" w:sz="8" w:space="0" w:color="152935"/>
              <w:left w:val="single" w:sz="8" w:space="0" w:color="E0E0E0"/>
              <w:bottom w:val="single" w:sz="8" w:space="0" w:color="152935"/>
              <w:right w:val="nil"/>
              <w:tl2br w:val="nil"/>
              <w:tr2bl w:val="nil"/>
            </w:tcBorders>
            <w:shd w:val="clear" w:color="auto" w:fill="FFFFFF"/>
          </w:tcPr>
          <w:p w14:paraId="3165AC8D" w14:textId="77777777" w:rsidR="008775EB" w:rsidRPr="004B27B7" w:rsidRDefault="00000000" w:rsidP="005203B6">
            <w:pPr>
              <w:spacing w:line="240" w:lineRule="auto"/>
              <w:ind w:left="60" w:right="60"/>
              <w:jc w:val="right"/>
              <w:rPr>
                <w:rFonts w:ascii="Times New Roman" w:hAnsi="Times New Roman" w:cs="Times New Roman"/>
                <w:color w:val="010205"/>
              </w:rPr>
            </w:pPr>
            <w:r w:rsidRPr="004B27B7">
              <w:rPr>
                <w:rFonts w:ascii="Times New Roman" w:hAnsi="Times New Roman" w:cs="Times New Roman"/>
                <w:color w:val="010205"/>
              </w:rPr>
              <w:t>1,0039300</w:t>
            </w:r>
          </w:p>
        </w:tc>
      </w:tr>
      <w:tr w:rsidR="008775EB" w:rsidRPr="004B27B7" w14:paraId="20037BE4" w14:textId="77777777">
        <w:trPr>
          <w:cantSplit/>
        </w:trPr>
        <w:tc>
          <w:tcPr>
            <w:tcW w:w="9150" w:type="dxa"/>
            <w:gridSpan w:val="5"/>
            <w:tcBorders>
              <w:top w:val="nil"/>
              <w:left w:val="nil"/>
              <w:bottom w:val="nil"/>
              <w:right w:val="nil"/>
              <w:tl2br w:val="nil"/>
              <w:tr2bl w:val="nil"/>
            </w:tcBorders>
            <w:shd w:val="clear" w:color="auto" w:fill="FFFFFF"/>
          </w:tcPr>
          <w:p w14:paraId="29D65EE7" w14:textId="77777777" w:rsidR="008775EB" w:rsidRPr="004B27B7" w:rsidRDefault="00000000" w:rsidP="005203B6">
            <w:pPr>
              <w:spacing w:line="240" w:lineRule="auto"/>
              <w:ind w:left="60" w:right="60"/>
              <w:rPr>
                <w:rFonts w:ascii="Times New Roman" w:hAnsi="Times New Roman" w:cs="Times New Roman"/>
                <w:color w:val="010205"/>
              </w:rPr>
            </w:pPr>
            <w:r w:rsidRPr="004B27B7">
              <w:rPr>
                <w:rFonts w:ascii="Times New Roman" w:hAnsi="Times New Roman" w:cs="Times New Roman"/>
                <w:color w:val="010205"/>
              </w:rPr>
              <w:t>a. Predictors: (Constant), GA</w:t>
            </w:r>
          </w:p>
        </w:tc>
      </w:tr>
    </w:tbl>
    <w:p w14:paraId="40B4A79B" w14:textId="77777777" w:rsidR="008775EB" w:rsidRPr="004B27B7" w:rsidRDefault="00000000" w:rsidP="004B27B7">
      <w:pPr>
        <w:spacing w:line="360" w:lineRule="auto"/>
        <w:jc w:val="both"/>
        <w:rPr>
          <w:rFonts w:ascii="Times New Roman" w:hAnsi="Times New Roman" w:cs="Times New Roman"/>
          <w:i/>
          <w:iCs/>
          <w:sz w:val="24"/>
          <w:szCs w:val="24"/>
        </w:rPr>
      </w:pPr>
      <w:r w:rsidRPr="004B27B7">
        <w:rPr>
          <w:rFonts w:ascii="Times New Roman" w:hAnsi="Times New Roman" w:cs="Times New Roman"/>
          <w:i/>
          <w:iCs/>
          <w:sz w:val="24"/>
          <w:szCs w:val="24"/>
        </w:rPr>
        <w:t>Sumber: Output SPSS 30, Data sekunder telah diolah</w:t>
      </w:r>
    </w:p>
    <w:p w14:paraId="4C3332F5" w14:textId="5312979E" w:rsidR="007266AC" w:rsidRDefault="00000000" w:rsidP="00177DFC">
      <w:pPr>
        <w:spacing w:line="360" w:lineRule="auto"/>
        <w:ind w:firstLine="720"/>
        <w:jc w:val="both"/>
        <w:rPr>
          <w:rFonts w:ascii="Times New Roman" w:hAnsi="Times New Roman" w:cs="Times New Roman"/>
          <w:sz w:val="24"/>
          <w:szCs w:val="24"/>
        </w:rPr>
      </w:pPr>
      <w:r w:rsidRPr="004B27B7">
        <w:rPr>
          <w:rFonts w:ascii="Times New Roman" w:hAnsi="Times New Roman" w:cs="Times New Roman"/>
          <w:sz w:val="24"/>
          <w:szCs w:val="24"/>
        </w:rPr>
        <w:t xml:space="preserve">Berdasarkan hasil uji koefisien determinasi di atas, nilai dari </w:t>
      </w:r>
      <w:r w:rsidRPr="004B27B7">
        <w:rPr>
          <w:rFonts w:ascii="Times New Roman" w:hAnsi="Times New Roman" w:cs="Times New Roman"/>
          <w:i/>
          <w:iCs/>
          <w:sz w:val="24"/>
          <w:szCs w:val="24"/>
        </w:rPr>
        <w:t xml:space="preserve">Adjusted R Square </w:t>
      </w:r>
      <w:r w:rsidRPr="004B27B7">
        <w:rPr>
          <w:rFonts w:ascii="Times New Roman" w:hAnsi="Times New Roman" w:cs="Times New Roman"/>
          <w:sz w:val="24"/>
          <w:szCs w:val="24"/>
        </w:rPr>
        <w:t xml:space="preserve">menunjukkan nilai sebesar 0,060. Nilai tersebut menginformasikan bahwa kontribusi atau tingkat keefektifan dari model regresi yang terdapat dalam penelitian ini dengan variabel </w:t>
      </w:r>
      <w:r w:rsidRPr="004B27B7">
        <w:rPr>
          <w:rFonts w:ascii="Times New Roman" w:hAnsi="Times New Roman" w:cs="Times New Roman"/>
          <w:i/>
          <w:iCs/>
          <w:sz w:val="24"/>
          <w:szCs w:val="24"/>
        </w:rPr>
        <w:t>independen</w:t>
      </w:r>
      <w:r w:rsidRPr="004B27B7">
        <w:rPr>
          <w:rFonts w:ascii="Times New Roman" w:hAnsi="Times New Roman" w:cs="Times New Roman"/>
          <w:sz w:val="24"/>
          <w:szCs w:val="24"/>
        </w:rPr>
        <w:t xml:space="preserve"> terhadap variabel </w:t>
      </w:r>
      <w:r w:rsidRPr="004B27B7">
        <w:rPr>
          <w:rFonts w:ascii="Times New Roman" w:hAnsi="Times New Roman" w:cs="Times New Roman"/>
          <w:i/>
          <w:iCs/>
          <w:sz w:val="24"/>
          <w:szCs w:val="24"/>
        </w:rPr>
        <w:t>dependen</w:t>
      </w:r>
      <w:r w:rsidRPr="004B27B7">
        <w:rPr>
          <w:rFonts w:ascii="Times New Roman" w:hAnsi="Times New Roman" w:cs="Times New Roman"/>
          <w:sz w:val="24"/>
          <w:szCs w:val="24"/>
        </w:rPr>
        <w:t xml:space="preserve"> adalah sebesar </w:t>
      </w:r>
      <w:r w:rsidR="00330160">
        <w:rPr>
          <w:rFonts w:ascii="Times New Roman" w:hAnsi="Times New Roman" w:cs="Times New Roman"/>
          <w:sz w:val="24"/>
          <w:szCs w:val="24"/>
        </w:rPr>
        <w:t>6</w:t>
      </w:r>
      <w:r w:rsidRPr="004B27B7">
        <w:rPr>
          <w:rFonts w:ascii="Times New Roman" w:hAnsi="Times New Roman" w:cs="Times New Roman"/>
          <w:sz w:val="24"/>
          <w:szCs w:val="24"/>
        </w:rPr>
        <w:t>% sedangkan sisanya dipengaruhi oleh variabel lain.</w:t>
      </w:r>
    </w:p>
    <w:p w14:paraId="15A744BE" w14:textId="52ACD9FA" w:rsidR="008775EB" w:rsidRPr="007266AC" w:rsidRDefault="00000000" w:rsidP="007266AC">
      <w:pPr>
        <w:spacing w:line="360" w:lineRule="auto"/>
        <w:jc w:val="both"/>
        <w:rPr>
          <w:rFonts w:ascii="Times New Roman" w:hAnsi="Times New Roman" w:cs="Times New Roman"/>
          <w:sz w:val="24"/>
          <w:szCs w:val="24"/>
        </w:rPr>
      </w:pPr>
      <w:r w:rsidRPr="004B27B7">
        <w:rPr>
          <w:rFonts w:ascii="Times New Roman" w:hAnsi="Times New Roman" w:cs="Times New Roman"/>
          <w:b/>
          <w:bCs/>
          <w:sz w:val="24"/>
          <w:szCs w:val="24"/>
        </w:rPr>
        <w:t>Pembahasan Penelitian</w:t>
      </w:r>
    </w:p>
    <w:p w14:paraId="4D04E54B" w14:textId="77777777" w:rsidR="008775EB" w:rsidRPr="004B27B7" w:rsidRDefault="00000000" w:rsidP="004B27B7">
      <w:pPr>
        <w:spacing w:line="360" w:lineRule="auto"/>
        <w:jc w:val="both"/>
        <w:rPr>
          <w:rFonts w:ascii="Times New Roman" w:hAnsi="Times New Roman" w:cs="Times New Roman"/>
          <w:b/>
          <w:bCs/>
          <w:sz w:val="24"/>
          <w:szCs w:val="24"/>
        </w:rPr>
      </w:pPr>
      <w:r w:rsidRPr="004B27B7">
        <w:rPr>
          <w:rFonts w:ascii="Times New Roman" w:hAnsi="Times New Roman" w:cs="Times New Roman"/>
          <w:b/>
          <w:bCs/>
          <w:sz w:val="24"/>
          <w:szCs w:val="24"/>
        </w:rPr>
        <w:t xml:space="preserve">Hubungan </w:t>
      </w:r>
      <w:r w:rsidRPr="004B27B7">
        <w:rPr>
          <w:rFonts w:ascii="Times New Roman" w:hAnsi="Times New Roman" w:cs="Times New Roman"/>
          <w:b/>
          <w:bCs/>
          <w:i/>
          <w:iCs/>
          <w:sz w:val="24"/>
          <w:szCs w:val="24"/>
        </w:rPr>
        <w:t>Green Accounting</w:t>
      </w:r>
      <w:r w:rsidRPr="004B27B7">
        <w:rPr>
          <w:rFonts w:ascii="Times New Roman" w:hAnsi="Times New Roman" w:cs="Times New Roman"/>
          <w:b/>
          <w:bCs/>
          <w:sz w:val="24"/>
          <w:szCs w:val="24"/>
        </w:rPr>
        <w:t xml:space="preserve"> terhadap </w:t>
      </w:r>
      <w:r w:rsidRPr="000A369B">
        <w:rPr>
          <w:rFonts w:ascii="Times New Roman" w:hAnsi="Times New Roman" w:cs="Times New Roman"/>
          <w:b/>
          <w:bCs/>
          <w:sz w:val="24"/>
          <w:szCs w:val="24"/>
        </w:rPr>
        <w:t>Profitabilitas</w:t>
      </w:r>
    </w:p>
    <w:p w14:paraId="4FDD57E5" w14:textId="0B4F6D2E" w:rsidR="008775EB" w:rsidRPr="004B27B7" w:rsidRDefault="00000000" w:rsidP="004B27B7">
      <w:pPr>
        <w:spacing w:line="360" w:lineRule="auto"/>
        <w:ind w:firstLine="720"/>
        <w:jc w:val="both"/>
        <w:rPr>
          <w:rFonts w:ascii="Times New Roman" w:hAnsi="Times New Roman" w:cs="Times New Roman"/>
          <w:sz w:val="24"/>
          <w:szCs w:val="24"/>
        </w:rPr>
      </w:pPr>
      <w:r w:rsidRPr="004B27B7">
        <w:rPr>
          <w:rFonts w:ascii="Times New Roman" w:hAnsi="Times New Roman" w:cs="Times New Roman"/>
          <w:sz w:val="24"/>
          <w:szCs w:val="24"/>
        </w:rPr>
        <w:t xml:space="preserve">Hasil uji hipotesis menunjukkan bahwa </w:t>
      </w:r>
      <w:r w:rsidRPr="004B27B7">
        <w:rPr>
          <w:rFonts w:ascii="Times New Roman" w:hAnsi="Times New Roman" w:cs="Times New Roman"/>
          <w:i/>
          <w:iCs/>
          <w:sz w:val="24"/>
          <w:szCs w:val="24"/>
        </w:rPr>
        <w:t>green accounting</w:t>
      </w:r>
      <w:r w:rsidRPr="004B27B7">
        <w:rPr>
          <w:rFonts w:ascii="Times New Roman" w:hAnsi="Times New Roman" w:cs="Times New Roman"/>
          <w:sz w:val="24"/>
          <w:szCs w:val="24"/>
        </w:rPr>
        <w:t xml:space="preserve"> yang </w:t>
      </w:r>
      <w:r w:rsidR="00023063">
        <w:rPr>
          <w:rFonts w:ascii="Times New Roman" w:hAnsi="Times New Roman" w:cs="Times New Roman"/>
          <w:sz w:val="24"/>
          <w:szCs w:val="24"/>
        </w:rPr>
        <w:t>diwakili</w:t>
      </w:r>
      <w:r w:rsidRPr="004B27B7">
        <w:rPr>
          <w:rFonts w:ascii="Times New Roman" w:hAnsi="Times New Roman" w:cs="Times New Roman"/>
          <w:sz w:val="24"/>
          <w:szCs w:val="24"/>
        </w:rPr>
        <w:t xml:space="preserve"> melalui biaya lingkungan</w:t>
      </w:r>
      <w:r w:rsidR="00023063">
        <w:rPr>
          <w:rFonts w:ascii="Times New Roman" w:hAnsi="Times New Roman" w:cs="Times New Roman"/>
          <w:sz w:val="24"/>
          <w:szCs w:val="24"/>
        </w:rPr>
        <w:t xml:space="preserve"> memiliki </w:t>
      </w:r>
      <w:r w:rsidRPr="004B27B7">
        <w:rPr>
          <w:rFonts w:ascii="Times New Roman" w:hAnsi="Times New Roman" w:cs="Times New Roman"/>
          <w:sz w:val="24"/>
          <w:szCs w:val="24"/>
        </w:rPr>
        <w:t xml:space="preserve">pengaruh positif dan signifikan </w:t>
      </w:r>
      <w:r w:rsidRPr="00023063">
        <w:rPr>
          <w:rFonts w:ascii="Times New Roman" w:hAnsi="Times New Roman" w:cs="Times New Roman"/>
          <w:sz w:val="24"/>
          <w:szCs w:val="24"/>
        </w:rPr>
        <w:t>terhadap profitabilitas.</w:t>
      </w:r>
      <w:r w:rsidRPr="004B27B7">
        <w:rPr>
          <w:rFonts w:ascii="Times New Roman" w:hAnsi="Times New Roman" w:cs="Times New Roman"/>
          <w:sz w:val="24"/>
          <w:szCs w:val="24"/>
        </w:rPr>
        <w:t xml:space="preserve"> Hal ini menunjukan bahwa penerapan </w:t>
      </w:r>
      <w:r w:rsidRPr="004B27B7">
        <w:rPr>
          <w:rFonts w:ascii="Times New Roman" w:hAnsi="Times New Roman" w:cs="Times New Roman"/>
          <w:i/>
          <w:iCs/>
          <w:sz w:val="24"/>
          <w:szCs w:val="24"/>
        </w:rPr>
        <w:t>green accounting</w:t>
      </w:r>
      <w:r w:rsidRPr="004B27B7">
        <w:rPr>
          <w:rFonts w:ascii="Times New Roman" w:hAnsi="Times New Roman" w:cs="Times New Roman"/>
          <w:sz w:val="24"/>
          <w:szCs w:val="24"/>
        </w:rPr>
        <w:t xml:space="preserve"> </w:t>
      </w:r>
      <w:r w:rsidR="00023063">
        <w:rPr>
          <w:rFonts w:ascii="Times New Roman" w:hAnsi="Times New Roman" w:cs="Times New Roman"/>
          <w:sz w:val="24"/>
          <w:szCs w:val="24"/>
        </w:rPr>
        <w:t>tidak</w:t>
      </w:r>
      <w:r w:rsidRPr="004B27B7">
        <w:rPr>
          <w:rFonts w:ascii="Times New Roman" w:hAnsi="Times New Roman" w:cs="Times New Roman"/>
          <w:sz w:val="24"/>
          <w:szCs w:val="24"/>
        </w:rPr>
        <w:t xml:space="preserve"> hanya mencerminkan kepedulian terhadap isu lingkungan, tetapi juga </w:t>
      </w:r>
      <w:r w:rsidR="00023063">
        <w:rPr>
          <w:rFonts w:ascii="Times New Roman" w:hAnsi="Times New Roman" w:cs="Times New Roman"/>
          <w:sz w:val="24"/>
          <w:szCs w:val="24"/>
        </w:rPr>
        <w:t>terwujud</w:t>
      </w:r>
      <w:r w:rsidRPr="004B27B7">
        <w:rPr>
          <w:rFonts w:ascii="Times New Roman" w:hAnsi="Times New Roman" w:cs="Times New Roman"/>
          <w:sz w:val="24"/>
          <w:szCs w:val="24"/>
        </w:rPr>
        <w:t xml:space="preserve"> dalam pencatatan biaya lingkungan yang ter</w:t>
      </w:r>
      <w:r w:rsidR="00023063">
        <w:rPr>
          <w:rFonts w:ascii="Times New Roman" w:hAnsi="Times New Roman" w:cs="Times New Roman"/>
          <w:sz w:val="24"/>
          <w:szCs w:val="24"/>
        </w:rPr>
        <w:t xml:space="preserve">tera </w:t>
      </w:r>
      <w:r w:rsidRPr="004B27B7">
        <w:rPr>
          <w:rFonts w:ascii="Times New Roman" w:hAnsi="Times New Roman" w:cs="Times New Roman"/>
          <w:sz w:val="24"/>
          <w:szCs w:val="24"/>
        </w:rPr>
        <w:t xml:space="preserve">dalam laporan keuangan perusahaan. Akuntansi hijau yang </w:t>
      </w:r>
      <w:r w:rsidR="00023063">
        <w:rPr>
          <w:rFonts w:ascii="Times New Roman" w:hAnsi="Times New Roman" w:cs="Times New Roman"/>
          <w:sz w:val="24"/>
          <w:szCs w:val="24"/>
        </w:rPr>
        <w:t>efektif</w:t>
      </w:r>
      <w:r w:rsidRPr="004B27B7">
        <w:rPr>
          <w:rFonts w:ascii="Times New Roman" w:hAnsi="Times New Roman" w:cs="Times New Roman"/>
          <w:sz w:val="24"/>
          <w:szCs w:val="24"/>
        </w:rPr>
        <w:t xml:space="preserve"> akan memberikan dampak yang besar bagi konsumen, kepercayaan dari konsumen akan meningkat terhadap perusahaan tersebu</w:t>
      </w:r>
      <w:r w:rsidR="00023063">
        <w:rPr>
          <w:rFonts w:ascii="Times New Roman" w:hAnsi="Times New Roman" w:cs="Times New Roman"/>
          <w:sz w:val="24"/>
          <w:szCs w:val="24"/>
        </w:rPr>
        <w:t xml:space="preserve">t, </w:t>
      </w:r>
      <w:r w:rsidRPr="004B27B7">
        <w:rPr>
          <w:rFonts w:ascii="Times New Roman" w:hAnsi="Times New Roman" w:cs="Times New Roman"/>
          <w:sz w:val="24"/>
          <w:szCs w:val="24"/>
        </w:rPr>
        <w:t>sehingga membuat perusahaan</w:t>
      </w:r>
      <w:r w:rsidR="000A369B">
        <w:rPr>
          <w:rFonts w:ascii="Times New Roman" w:hAnsi="Times New Roman" w:cs="Times New Roman"/>
          <w:sz w:val="24"/>
          <w:szCs w:val="24"/>
        </w:rPr>
        <w:t xml:space="preserve"> dapat</w:t>
      </w:r>
      <w:r w:rsidRPr="004B27B7">
        <w:rPr>
          <w:rFonts w:ascii="Times New Roman" w:hAnsi="Times New Roman" w:cs="Times New Roman"/>
          <w:sz w:val="24"/>
          <w:szCs w:val="24"/>
        </w:rPr>
        <w:t xml:space="preserve"> bertahan</w:t>
      </w:r>
      <w:r w:rsidR="000A369B">
        <w:rPr>
          <w:rFonts w:ascii="Times New Roman" w:hAnsi="Times New Roman" w:cs="Times New Roman"/>
          <w:sz w:val="24"/>
          <w:szCs w:val="24"/>
        </w:rPr>
        <w:t xml:space="preserve"> lebih</w:t>
      </w:r>
      <w:r w:rsidRPr="004B27B7">
        <w:rPr>
          <w:rFonts w:ascii="Times New Roman" w:hAnsi="Times New Roman" w:cs="Times New Roman"/>
          <w:sz w:val="24"/>
          <w:szCs w:val="24"/>
        </w:rPr>
        <w:t xml:space="preserve"> lama dan </w:t>
      </w:r>
      <w:r w:rsidRPr="000A369B">
        <w:rPr>
          <w:rFonts w:ascii="Times New Roman" w:hAnsi="Times New Roman" w:cs="Times New Roman"/>
          <w:sz w:val="24"/>
          <w:szCs w:val="24"/>
        </w:rPr>
        <w:t>Profitabilitas</w:t>
      </w:r>
      <w:r w:rsidR="00177DFC">
        <w:rPr>
          <w:rFonts w:ascii="Times New Roman" w:hAnsi="Times New Roman" w:cs="Times New Roman"/>
          <w:sz w:val="24"/>
          <w:szCs w:val="24"/>
        </w:rPr>
        <w:t xml:space="preserve"> </w:t>
      </w:r>
      <w:r w:rsidRPr="004B27B7">
        <w:rPr>
          <w:rFonts w:ascii="Times New Roman" w:hAnsi="Times New Roman" w:cs="Times New Roman"/>
          <w:sz w:val="24"/>
          <w:szCs w:val="24"/>
        </w:rPr>
        <w:t xml:space="preserve">(ROA) </w:t>
      </w:r>
      <w:r w:rsidR="000A369B">
        <w:rPr>
          <w:rFonts w:ascii="Times New Roman" w:hAnsi="Times New Roman" w:cs="Times New Roman"/>
          <w:sz w:val="24"/>
          <w:szCs w:val="24"/>
        </w:rPr>
        <w:t xml:space="preserve">juga </w:t>
      </w:r>
      <w:r w:rsidRPr="004B27B7">
        <w:rPr>
          <w:rFonts w:ascii="Times New Roman" w:hAnsi="Times New Roman" w:cs="Times New Roman"/>
          <w:sz w:val="24"/>
          <w:szCs w:val="24"/>
        </w:rPr>
        <w:t xml:space="preserve">meningkat. Dengan menerapkan </w:t>
      </w:r>
      <w:r w:rsidRPr="004B27B7">
        <w:rPr>
          <w:rFonts w:ascii="Times New Roman" w:hAnsi="Times New Roman" w:cs="Times New Roman"/>
          <w:i/>
          <w:iCs/>
          <w:sz w:val="24"/>
          <w:szCs w:val="24"/>
        </w:rPr>
        <w:t>green accounting</w:t>
      </w:r>
      <w:r w:rsidRPr="004B27B7">
        <w:rPr>
          <w:rFonts w:ascii="Times New Roman" w:hAnsi="Times New Roman" w:cs="Times New Roman"/>
          <w:sz w:val="24"/>
          <w:szCs w:val="24"/>
        </w:rPr>
        <w:t xml:space="preserve">, perusahaan </w:t>
      </w:r>
      <w:r w:rsidR="000A369B">
        <w:rPr>
          <w:rFonts w:ascii="Times New Roman" w:hAnsi="Times New Roman" w:cs="Times New Roman"/>
          <w:sz w:val="24"/>
          <w:szCs w:val="24"/>
        </w:rPr>
        <w:t xml:space="preserve">mematuhi peraturan </w:t>
      </w:r>
      <w:r w:rsidRPr="004B27B7">
        <w:rPr>
          <w:rFonts w:ascii="Times New Roman" w:hAnsi="Times New Roman" w:cs="Times New Roman"/>
          <w:sz w:val="24"/>
          <w:szCs w:val="24"/>
        </w:rPr>
        <w:t xml:space="preserve">dan tanggung jawab lingkungan sambil </w:t>
      </w:r>
      <w:r w:rsidR="000A369B">
        <w:rPr>
          <w:rFonts w:ascii="Times New Roman" w:hAnsi="Times New Roman" w:cs="Times New Roman"/>
          <w:sz w:val="24"/>
          <w:szCs w:val="24"/>
        </w:rPr>
        <w:t>mendapatkan</w:t>
      </w:r>
      <w:r w:rsidRPr="004B27B7">
        <w:rPr>
          <w:rFonts w:ascii="Times New Roman" w:hAnsi="Times New Roman" w:cs="Times New Roman"/>
          <w:sz w:val="24"/>
          <w:szCs w:val="24"/>
        </w:rPr>
        <w:t xml:space="preserve"> legitimasi tambahan sebagai entitas yang berkelanjutan dan bertanggung jawab. </w:t>
      </w:r>
      <w:r w:rsidR="000A369B">
        <w:rPr>
          <w:rFonts w:ascii="Times New Roman" w:hAnsi="Times New Roman" w:cs="Times New Roman"/>
          <w:sz w:val="24"/>
          <w:szCs w:val="24"/>
        </w:rPr>
        <w:t>Melalui</w:t>
      </w:r>
      <w:r w:rsidRPr="004B27B7">
        <w:rPr>
          <w:rFonts w:ascii="Times New Roman" w:hAnsi="Times New Roman" w:cs="Times New Roman"/>
          <w:sz w:val="24"/>
          <w:szCs w:val="24"/>
        </w:rPr>
        <w:t xml:space="preserve"> penerapan </w:t>
      </w:r>
      <w:r w:rsidR="000A369B">
        <w:rPr>
          <w:rFonts w:ascii="Times New Roman" w:hAnsi="Times New Roman" w:cs="Times New Roman"/>
          <w:i/>
          <w:iCs/>
          <w:sz w:val="24"/>
          <w:szCs w:val="24"/>
        </w:rPr>
        <w:t>g</w:t>
      </w:r>
      <w:r w:rsidRPr="000A369B">
        <w:rPr>
          <w:rFonts w:ascii="Times New Roman" w:hAnsi="Times New Roman" w:cs="Times New Roman"/>
          <w:i/>
          <w:iCs/>
          <w:sz w:val="24"/>
          <w:szCs w:val="24"/>
        </w:rPr>
        <w:t>reen Accounting</w:t>
      </w:r>
      <w:r w:rsidRPr="004B27B7">
        <w:rPr>
          <w:rFonts w:ascii="Times New Roman" w:hAnsi="Times New Roman" w:cs="Times New Roman"/>
          <w:sz w:val="24"/>
          <w:szCs w:val="24"/>
        </w:rPr>
        <w:t xml:space="preserve"> perusahaan akan </w:t>
      </w:r>
      <w:r w:rsidR="000A369B">
        <w:rPr>
          <w:rFonts w:ascii="Times New Roman" w:hAnsi="Times New Roman" w:cs="Times New Roman"/>
          <w:sz w:val="24"/>
          <w:szCs w:val="24"/>
        </w:rPr>
        <w:t xml:space="preserve">lebih </w:t>
      </w:r>
      <w:r w:rsidRPr="004B27B7">
        <w:rPr>
          <w:rFonts w:ascii="Times New Roman" w:hAnsi="Times New Roman" w:cs="Times New Roman"/>
          <w:sz w:val="24"/>
          <w:szCs w:val="24"/>
        </w:rPr>
        <w:t xml:space="preserve">sadar </w:t>
      </w:r>
      <w:r w:rsidR="000A369B">
        <w:rPr>
          <w:rFonts w:ascii="Times New Roman" w:hAnsi="Times New Roman" w:cs="Times New Roman"/>
          <w:sz w:val="24"/>
          <w:szCs w:val="24"/>
        </w:rPr>
        <w:t>terhadap</w:t>
      </w:r>
      <w:r w:rsidRPr="004B27B7">
        <w:rPr>
          <w:rFonts w:ascii="Times New Roman" w:hAnsi="Times New Roman" w:cs="Times New Roman"/>
          <w:sz w:val="24"/>
          <w:szCs w:val="24"/>
        </w:rPr>
        <w:t xml:space="preserve"> kerusakan lingkungan yang </w:t>
      </w:r>
      <w:r w:rsidR="000A369B">
        <w:rPr>
          <w:rFonts w:ascii="Times New Roman" w:hAnsi="Times New Roman" w:cs="Times New Roman"/>
          <w:sz w:val="24"/>
          <w:szCs w:val="24"/>
        </w:rPr>
        <w:t xml:space="preserve">ditimbulkan </w:t>
      </w:r>
      <w:r w:rsidRPr="004B27B7">
        <w:rPr>
          <w:rFonts w:ascii="Times New Roman" w:hAnsi="Times New Roman" w:cs="Times New Roman"/>
          <w:sz w:val="24"/>
          <w:szCs w:val="24"/>
        </w:rPr>
        <w:t xml:space="preserve">dan </w:t>
      </w:r>
      <w:r w:rsidR="000A369B">
        <w:rPr>
          <w:rFonts w:ascii="Times New Roman" w:hAnsi="Times New Roman" w:cs="Times New Roman"/>
          <w:sz w:val="24"/>
          <w:szCs w:val="24"/>
        </w:rPr>
        <w:t xml:space="preserve">berusaha mengurangi </w:t>
      </w:r>
      <w:r w:rsidRPr="004B27B7">
        <w:rPr>
          <w:rFonts w:ascii="Times New Roman" w:hAnsi="Times New Roman" w:cs="Times New Roman"/>
          <w:sz w:val="24"/>
          <w:szCs w:val="24"/>
        </w:rPr>
        <w:t xml:space="preserve">kerusakan tersebut, perusahaan juga bisa </w:t>
      </w:r>
      <w:r w:rsidR="000A369B">
        <w:rPr>
          <w:rFonts w:ascii="Times New Roman" w:hAnsi="Times New Roman" w:cs="Times New Roman"/>
          <w:sz w:val="24"/>
          <w:szCs w:val="24"/>
        </w:rPr>
        <w:t xml:space="preserve">mengembangkan </w:t>
      </w:r>
      <w:r w:rsidRPr="004B27B7">
        <w:rPr>
          <w:rFonts w:ascii="Times New Roman" w:hAnsi="Times New Roman" w:cs="Times New Roman"/>
          <w:sz w:val="24"/>
          <w:szCs w:val="24"/>
        </w:rPr>
        <w:t>produk yang ramah lingkungan sebag</w:t>
      </w:r>
      <w:r w:rsidR="000A369B">
        <w:rPr>
          <w:rFonts w:ascii="Times New Roman" w:hAnsi="Times New Roman" w:cs="Times New Roman"/>
          <w:sz w:val="24"/>
          <w:szCs w:val="24"/>
        </w:rPr>
        <w:t>a</w:t>
      </w:r>
      <w:r w:rsidRPr="004B27B7">
        <w:rPr>
          <w:rFonts w:ascii="Times New Roman" w:hAnsi="Times New Roman" w:cs="Times New Roman"/>
          <w:sz w:val="24"/>
          <w:szCs w:val="24"/>
        </w:rPr>
        <w:t xml:space="preserve">i salah satu </w:t>
      </w:r>
      <w:r w:rsidR="000A369B">
        <w:rPr>
          <w:rFonts w:ascii="Times New Roman" w:hAnsi="Times New Roman" w:cs="Times New Roman"/>
          <w:sz w:val="24"/>
          <w:szCs w:val="24"/>
        </w:rPr>
        <w:t xml:space="preserve">wujud dukungan </w:t>
      </w:r>
      <w:r w:rsidRPr="004B27B7">
        <w:rPr>
          <w:rFonts w:ascii="Times New Roman" w:hAnsi="Times New Roman" w:cs="Times New Roman"/>
          <w:sz w:val="24"/>
          <w:szCs w:val="24"/>
        </w:rPr>
        <w:t>dalam menciptakan lingkungan yang sehat.</w:t>
      </w:r>
    </w:p>
    <w:p w14:paraId="7981CA60" w14:textId="7CC07AEC" w:rsidR="008775EB" w:rsidRPr="004B27B7" w:rsidRDefault="00000000" w:rsidP="004B27B7">
      <w:pPr>
        <w:spacing w:line="360" w:lineRule="auto"/>
        <w:ind w:firstLine="720"/>
        <w:jc w:val="both"/>
        <w:rPr>
          <w:rFonts w:ascii="Times New Roman" w:hAnsi="Times New Roman" w:cs="Times New Roman"/>
          <w:sz w:val="24"/>
          <w:szCs w:val="24"/>
        </w:rPr>
      </w:pPr>
      <w:r w:rsidRPr="004B27B7">
        <w:rPr>
          <w:rFonts w:ascii="Times New Roman" w:hAnsi="Times New Roman" w:cs="Times New Roman"/>
          <w:sz w:val="24"/>
          <w:szCs w:val="24"/>
        </w:rPr>
        <w:t xml:space="preserve">Hasil </w:t>
      </w:r>
      <w:r w:rsidR="000A369B">
        <w:rPr>
          <w:rFonts w:ascii="Times New Roman" w:hAnsi="Times New Roman" w:cs="Times New Roman"/>
          <w:sz w:val="24"/>
          <w:szCs w:val="24"/>
        </w:rPr>
        <w:t>studi</w:t>
      </w:r>
      <w:r w:rsidRPr="004B27B7">
        <w:rPr>
          <w:rFonts w:ascii="Times New Roman" w:hAnsi="Times New Roman" w:cs="Times New Roman"/>
          <w:sz w:val="24"/>
          <w:szCs w:val="24"/>
        </w:rPr>
        <w:t xml:space="preserve"> ini s</w:t>
      </w:r>
      <w:r w:rsidR="000A369B">
        <w:rPr>
          <w:rFonts w:ascii="Times New Roman" w:hAnsi="Times New Roman" w:cs="Times New Roman"/>
          <w:sz w:val="24"/>
          <w:szCs w:val="24"/>
        </w:rPr>
        <w:t>ejalan</w:t>
      </w:r>
      <w:r w:rsidRPr="004B27B7">
        <w:rPr>
          <w:rFonts w:ascii="Times New Roman" w:hAnsi="Times New Roman" w:cs="Times New Roman"/>
          <w:sz w:val="24"/>
          <w:szCs w:val="24"/>
        </w:rPr>
        <w:t xml:space="preserve"> dengan teori legitimasi </w:t>
      </w:r>
      <w:r w:rsidR="000A369B">
        <w:rPr>
          <w:rFonts w:ascii="Times New Roman" w:hAnsi="Times New Roman" w:cs="Times New Roman"/>
          <w:sz w:val="24"/>
          <w:szCs w:val="24"/>
        </w:rPr>
        <w:t>jika</w:t>
      </w:r>
      <w:r w:rsidRPr="004B27B7">
        <w:rPr>
          <w:rFonts w:ascii="Times New Roman" w:hAnsi="Times New Roman" w:cs="Times New Roman"/>
          <w:sz w:val="24"/>
          <w:szCs w:val="24"/>
        </w:rPr>
        <w:t xml:space="preserve"> perusahaan terbukti memperhatikan </w:t>
      </w:r>
      <w:r w:rsidR="000A369B">
        <w:rPr>
          <w:rFonts w:ascii="Times New Roman" w:hAnsi="Times New Roman" w:cs="Times New Roman"/>
          <w:sz w:val="24"/>
          <w:szCs w:val="24"/>
        </w:rPr>
        <w:t xml:space="preserve">lingkungan </w:t>
      </w:r>
      <w:r w:rsidRPr="004B27B7">
        <w:rPr>
          <w:rFonts w:ascii="Times New Roman" w:hAnsi="Times New Roman" w:cs="Times New Roman"/>
          <w:sz w:val="24"/>
          <w:szCs w:val="24"/>
        </w:rPr>
        <w:t xml:space="preserve">sekitar dengan dana yang telah dialokasikan </w:t>
      </w:r>
      <w:r w:rsidR="000A369B">
        <w:rPr>
          <w:rFonts w:ascii="Times New Roman" w:hAnsi="Times New Roman" w:cs="Times New Roman"/>
          <w:sz w:val="24"/>
          <w:szCs w:val="24"/>
        </w:rPr>
        <w:t xml:space="preserve">sesuai </w:t>
      </w:r>
      <w:r w:rsidRPr="004B27B7">
        <w:rPr>
          <w:rFonts w:ascii="Times New Roman" w:hAnsi="Times New Roman" w:cs="Times New Roman"/>
          <w:sz w:val="24"/>
          <w:szCs w:val="24"/>
        </w:rPr>
        <w:t xml:space="preserve">dengan </w:t>
      </w:r>
      <w:r w:rsidR="000A369B">
        <w:rPr>
          <w:rFonts w:ascii="Times New Roman" w:hAnsi="Times New Roman" w:cs="Times New Roman"/>
          <w:sz w:val="24"/>
          <w:szCs w:val="24"/>
        </w:rPr>
        <w:t>pera</w:t>
      </w:r>
      <w:r w:rsidRPr="004B27B7">
        <w:rPr>
          <w:rFonts w:ascii="Times New Roman" w:hAnsi="Times New Roman" w:cs="Times New Roman"/>
          <w:sz w:val="24"/>
          <w:szCs w:val="24"/>
        </w:rPr>
        <w:t>turan yang ada</w:t>
      </w:r>
      <w:r w:rsidR="000A369B">
        <w:rPr>
          <w:rFonts w:ascii="Times New Roman" w:hAnsi="Times New Roman" w:cs="Times New Roman"/>
          <w:sz w:val="24"/>
          <w:szCs w:val="24"/>
        </w:rPr>
        <w:t xml:space="preserve">, </w:t>
      </w:r>
      <w:r w:rsidRPr="004B27B7">
        <w:rPr>
          <w:rFonts w:ascii="Times New Roman" w:hAnsi="Times New Roman" w:cs="Times New Roman"/>
          <w:sz w:val="24"/>
          <w:szCs w:val="24"/>
        </w:rPr>
        <w:t>maka secara otomatis masyarakat setempat</w:t>
      </w:r>
      <w:r w:rsidR="000A369B">
        <w:rPr>
          <w:rFonts w:ascii="Times New Roman" w:hAnsi="Times New Roman" w:cs="Times New Roman"/>
          <w:sz w:val="24"/>
          <w:szCs w:val="24"/>
        </w:rPr>
        <w:t xml:space="preserve"> akan</w:t>
      </w:r>
      <w:r w:rsidRPr="004B27B7">
        <w:rPr>
          <w:rFonts w:ascii="Times New Roman" w:hAnsi="Times New Roman" w:cs="Times New Roman"/>
          <w:sz w:val="24"/>
          <w:szCs w:val="24"/>
        </w:rPr>
        <w:t xml:space="preserve"> menerima keberadaan perusahaan</w:t>
      </w:r>
      <w:r w:rsidR="000A369B">
        <w:rPr>
          <w:rFonts w:ascii="Times New Roman" w:hAnsi="Times New Roman" w:cs="Times New Roman"/>
          <w:sz w:val="24"/>
          <w:szCs w:val="24"/>
        </w:rPr>
        <w:t xml:space="preserve"> itu</w:t>
      </w:r>
      <w:r w:rsidRPr="004B27B7">
        <w:rPr>
          <w:rFonts w:ascii="Times New Roman" w:hAnsi="Times New Roman" w:cs="Times New Roman"/>
          <w:sz w:val="24"/>
          <w:szCs w:val="24"/>
        </w:rPr>
        <w:t xml:space="preserve"> karena dianggap memiliki rasa peduli terhadap lingkungan </w:t>
      </w:r>
      <w:r w:rsidR="000A369B">
        <w:rPr>
          <w:rFonts w:ascii="Times New Roman" w:hAnsi="Times New Roman" w:cs="Times New Roman"/>
          <w:sz w:val="24"/>
          <w:szCs w:val="24"/>
        </w:rPr>
        <w:t>di</w:t>
      </w:r>
      <w:r w:rsidRPr="004B27B7">
        <w:rPr>
          <w:rFonts w:ascii="Times New Roman" w:hAnsi="Times New Roman" w:cs="Times New Roman"/>
          <w:sz w:val="24"/>
          <w:szCs w:val="24"/>
        </w:rPr>
        <w:t xml:space="preserve">sekitarnya. Teori legitimasi </w:t>
      </w:r>
      <w:r w:rsidR="000A369B">
        <w:rPr>
          <w:rFonts w:ascii="Times New Roman" w:hAnsi="Times New Roman" w:cs="Times New Roman"/>
          <w:sz w:val="24"/>
          <w:szCs w:val="24"/>
        </w:rPr>
        <w:t xml:space="preserve">beragumen </w:t>
      </w:r>
      <w:r w:rsidRPr="004B27B7">
        <w:rPr>
          <w:rFonts w:ascii="Times New Roman" w:hAnsi="Times New Roman" w:cs="Times New Roman"/>
          <w:sz w:val="24"/>
          <w:szCs w:val="24"/>
        </w:rPr>
        <w:lastRenderedPageBreak/>
        <w:t xml:space="preserve">bahwa organisasi </w:t>
      </w:r>
      <w:r w:rsidR="000A369B">
        <w:rPr>
          <w:rFonts w:ascii="Times New Roman" w:hAnsi="Times New Roman" w:cs="Times New Roman"/>
          <w:sz w:val="24"/>
          <w:szCs w:val="24"/>
        </w:rPr>
        <w:t xml:space="preserve">menerapkan </w:t>
      </w:r>
      <w:r w:rsidRPr="004B27B7">
        <w:rPr>
          <w:rFonts w:ascii="Times New Roman" w:hAnsi="Times New Roman" w:cs="Times New Roman"/>
          <w:sz w:val="24"/>
          <w:szCs w:val="24"/>
        </w:rPr>
        <w:t xml:space="preserve">praktik seperti </w:t>
      </w:r>
      <w:r w:rsidRPr="004B27B7">
        <w:rPr>
          <w:rFonts w:ascii="Times New Roman" w:hAnsi="Times New Roman" w:cs="Times New Roman"/>
          <w:i/>
          <w:iCs/>
          <w:sz w:val="24"/>
          <w:szCs w:val="24"/>
        </w:rPr>
        <w:t>green accounting</w:t>
      </w:r>
      <w:r w:rsidRPr="004B27B7">
        <w:rPr>
          <w:rFonts w:ascii="Times New Roman" w:hAnsi="Times New Roman" w:cs="Times New Roman"/>
          <w:sz w:val="24"/>
          <w:szCs w:val="24"/>
        </w:rPr>
        <w:t xml:space="preserve"> untuk me</w:t>
      </w:r>
      <w:r w:rsidR="000A369B">
        <w:rPr>
          <w:rFonts w:ascii="Times New Roman" w:hAnsi="Times New Roman" w:cs="Times New Roman"/>
          <w:sz w:val="24"/>
          <w:szCs w:val="24"/>
        </w:rPr>
        <w:t>mperkuat</w:t>
      </w:r>
      <w:r w:rsidRPr="004B27B7">
        <w:rPr>
          <w:rFonts w:ascii="Times New Roman" w:hAnsi="Times New Roman" w:cs="Times New Roman"/>
          <w:sz w:val="24"/>
          <w:szCs w:val="24"/>
        </w:rPr>
        <w:t xml:space="preserve"> legitimasi mereka di mata pemangku kepentingan. </w:t>
      </w:r>
      <w:r w:rsidR="003909BF">
        <w:rPr>
          <w:rFonts w:ascii="Times New Roman" w:hAnsi="Times New Roman" w:cs="Times New Roman"/>
          <w:sz w:val="24"/>
          <w:szCs w:val="24"/>
        </w:rPr>
        <w:t>Hubungan antara</w:t>
      </w:r>
      <w:r w:rsidRPr="004B27B7">
        <w:rPr>
          <w:rFonts w:ascii="Times New Roman" w:hAnsi="Times New Roman" w:cs="Times New Roman"/>
          <w:sz w:val="24"/>
          <w:szCs w:val="24"/>
        </w:rPr>
        <w:t xml:space="preserve"> teori legitimasi dengan akuntansi lingkungan </w:t>
      </w:r>
      <w:r w:rsidR="003909BF">
        <w:rPr>
          <w:rFonts w:ascii="Times New Roman" w:hAnsi="Times New Roman" w:cs="Times New Roman"/>
          <w:sz w:val="24"/>
          <w:szCs w:val="24"/>
        </w:rPr>
        <w:t xml:space="preserve">merupakan </w:t>
      </w:r>
      <w:r w:rsidRPr="004B27B7">
        <w:rPr>
          <w:rFonts w:ascii="Times New Roman" w:hAnsi="Times New Roman" w:cs="Times New Roman"/>
          <w:sz w:val="24"/>
          <w:szCs w:val="24"/>
        </w:rPr>
        <w:t xml:space="preserve">aspek penting, </w:t>
      </w:r>
      <w:r w:rsidR="003909BF">
        <w:rPr>
          <w:rFonts w:ascii="Times New Roman" w:hAnsi="Times New Roman" w:cs="Times New Roman"/>
          <w:sz w:val="24"/>
          <w:szCs w:val="24"/>
        </w:rPr>
        <w:t xml:space="preserve">dimana </w:t>
      </w:r>
      <w:r w:rsidRPr="004B27B7">
        <w:rPr>
          <w:rFonts w:ascii="Times New Roman" w:hAnsi="Times New Roman" w:cs="Times New Roman"/>
          <w:sz w:val="24"/>
          <w:szCs w:val="24"/>
        </w:rPr>
        <w:t xml:space="preserve">keberlanjutan </w:t>
      </w:r>
      <w:r w:rsidR="003909BF">
        <w:rPr>
          <w:rFonts w:ascii="Times New Roman" w:hAnsi="Times New Roman" w:cs="Times New Roman"/>
          <w:sz w:val="24"/>
          <w:szCs w:val="24"/>
        </w:rPr>
        <w:t xml:space="preserve">hidup </w:t>
      </w:r>
      <w:r w:rsidRPr="004B27B7">
        <w:rPr>
          <w:rFonts w:ascii="Times New Roman" w:hAnsi="Times New Roman" w:cs="Times New Roman"/>
          <w:sz w:val="24"/>
          <w:szCs w:val="24"/>
        </w:rPr>
        <w:t>perusahaan atau organisasi</w:t>
      </w:r>
      <w:r w:rsidR="003909BF">
        <w:rPr>
          <w:rFonts w:ascii="Times New Roman" w:hAnsi="Times New Roman" w:cs="Times New Roman"/>
          <w:sz w:val="24"/>
          <w:szCs w:val="24"/>
        </w:rPr>
        <w:t xml:space="preserve"> </w:t>
      </w:r>
      <w:r w:rsidRPr="004B27B7">
        <w:rPr>
          <w:rFonts w:ascii="Times New Roman" w:hAnsi="Times New Roman" w:cs="Times New Roman"/>
          <w:sz w:val="24"/>
          <w:szCs w:val="24"/>
        </w:rPr>
        <w:t xml:space="preserve">di masa depan sangat tergantung pada legitimasi yang diperoleh. </w:t>
      </w:r>
    </w:p>
    <w:p w14:paraId="033DAB15" w14:textId="22522D44" w:rsidR="008775EB" w:rsidRPr="004B27B7" w:rsidRDefault="00000000" w:rsidP="004B27B7">
      <w:pPr>
        <w:spacing w:line="360" w:lineRule="auto"/>
        <w:ind w:firstLine="720"/>
        <w:jc w:val="both"/>
        <w:rPr>
          <w:rFonts w:ascii="Times New Roman" w:hAnsi="Times New Roman" w:cs="Times New Roman"/>
          <w:sz w:val="24"/>
          <w:szCs w:val="24"/>
        </w:rPr>
      </w:pPr>
      <w:r w:rsidRPr="004B27B7">
        <w:rPr>
          <w:rFonts w:ascii="Times New Roman" w:hAnsi="Times New Roman" w:cs="Times New Roman"/>
          <w:sz w:val="24"/>
          <w:szCs w:val="24"/>
        </w:rPr>
        <w:t xml:space="preserve">Penelitian ini sejalan dengan yang dilakukan Utami &amp; Nuraini (2020) tentang pengaruh penerapan </w:t>
      </w:r>
      <w:r w:rsidRPr="004B27B7">
        <w:rPr>
          <w:rFonts w:ascii="Times New Roman" w:hAnsi="Times New Roman" w:cs="Times New Roman"/>
          <w:i/>
          <w:iCs/>
          <w:sz w:val="24"/>
          <w:szCs w:val="24"/>
        </w:rPr>
        <w:t>green accounting</w:t>
      </w:r>
      <w:r w:rsidRPr="004B27B7">
        <w:rPr>
          <w:rFonts w:ascii="Times New Roman" w:hAnsi="Times New Roman" w:cs="Times New Roman"/>
          <w:sz w:val="24"/>
          <w:szCs w:val="24"/>
        </w:rPr>
        <w:t xml:space="preserve"> dan perputaran total asset terhadap </w:t>
      </w:r>
      <w:r w:rsidRPr="004B27B7">
        <w:rPr>
          <w:rFonts w:ascii="Times New Roman" w:hAnsi="Times New Roman" w:cs="Times New Roman"/>
          <w:i/>
          <w:iCs/>
          <w:sz w:val="24"/>
          <w:szCs w:val="24"/>
        </w:rPr>
        <w:t>profitabilitas</w:t>
      </w:r>
      <w:r w:rsidRPr="004B27B7">
        <w:rPr>
          <w:rFonts w:ascii="Times New Roman" w:hAnsi="Times New Roman" w:cs="Times New Roman"/>
          <w:sz w:val="24"/>
          <w:szCs w:val="24"/>
        </w:rPr>
        <w:t xml:space="preserve">. Hasil penelitian menunjukkan bahwa </w:t>
      </w:r>
      <w:r w:rsidRPr="004B27B7">
        <w:rPr>
          <w:rFonts w:ascii="Times New Roman" w:hAnsi="Times New Roman" w:cs="Times New Roman"/>
          <w:i/>
          <w:iCs/>
          <w:sz w:val="24"/>
          <w:szCs w:val="24"/>
        </w:rPr>
        <w:t>green accounting</w:t>
      </w:r>
      <w:r w:rsidRPr="004B27B7">
        <w:rPr>
          <w:rFonts w:ascii="Times New Roman" w:hAnsi="Times New Roman" w:cs="Times New Roman"/>
          <w:sz w:val="24"/>
          <w:szCs w:val="24"/>
        </w:rPr>
        <w:t xml:space="preserve"> memiliki pengaruh signifikan terhadap </w:t>
      </w:r>
      <w:r w:rsidRPr="004B27B7">
        <w:rPr>
          <w:rFonts w:ascii="Times New Roman" w:hAnsi="Times New Roman" w:cs="Times New Roman"/>
          <w:i/>
          <w:iCs/>
          <w:sz w:val="24"/>
          <w:szCs w:val="24"/>
        </w:rPr>
        <w:t>profitabilitas</w:t>
      </w:r>
      <w:r w:rsidRPr="004B27B7">
        <w:rPr>
          <w:rFonts w:ascii="Times New Roman" w:hAnsi="Times New Roman" w:cs="Times New Roman"/>
          <w:sz w:val="24"/>
          <w:szCs w:val="24"/>
        </w:rPr>
        <w:t xml:space="preserve"> dan berdasarkan hasil penelitiannya juga bahwa tidak semua sektor perusahaan yang menerapkan </w:t>
      </w:r>
      <w:r w:rsidRPr="004B27B7">
        <w:rPr>
          <w:rFonts w:ascii="Times New Roman" w:hAnsi="Times New Roman" w:cs="Times New Roman"/>
          <w:i/>
          <w:iCs/>
          <w:sz w:val="24"/>
          <w:szCs w:val="24"/>
        </w:rPr>
        <w:t>green Accounting</w:t>
      </w:r>
      <w:r w:rsidRPr="004B27B7">
        <w:rPr>
          <w:rFonts w:ascii="Times New Roman" w:hAnsi="Times New Roman" w:cs="Times New Roman"/>
          <w:sz w:val="24"/>
          <w:szCs w:val="24"/>
        </w:rPr>
        <w:t xml:space="preserve"> dapat berpengaruh terhadap </w:t>
      </w:r>
      <w:r w:rsidRPr="004B27B7">
        <w:rPr>
          <w:rFonts w:ascii="Times New Roman" w:hAnsi="Times New Roman" w:cs="Times New Roman"/>
          <w:i/>
          <w:iCs/>
          <w:sz w:val="24"/>
          <w:szCs w:val="24"/>
        </w:rPr>
        <w:t>profitabilitas</w:t>
      </w:r>
      <w:r w:rsidRPr="004B27B7">
        <w:rPr>
          <w:rFonts w:ascii="Times New Roman" w:hAnsi="Times New Roman" w:cs="Times New Roman"/>
          <w:sz w:val="24"/>
          <w:szCs w:val="24"/>
        </w:rPr>
        <w:t xml:space="preserve"> perusahaan tersebut. Hasil penelitian ini sejalan dengan penelitian yang dilakukan oleh Nada Rosyidah Sari dan Endah Tri Wahyuningtyas </w:t>
      </w:r>
      <w:r w:rsidR="00177DFC">
        <w:rPr>
          <w:rFonts w:ascii="Times New Roman" w:hAnsi="Times New Roman" w:cs="Times New Roman"/>
          <w:sz w:val="24"/>
          <w:szCs w:val="24"/>
        </w:rPr>
        <w:t>(</w:t>
      </w:r>
      <w:r w:rsidRPr="004B27B7">
        <w:rPr>
          <w:rFonts w:ascii="Times New Roman" w:hAnsi="Times New Roman" w:cs="Times New Roman"/>
          <w:sz w:val="24"/>
          <w:szCs w:val="24"/>
        </w:rPr>
        <w:t>2020</w:t>
      </w:r>
      <w:r w:rsidR="00177DFC">
        <w:rPr>
          <w:rFonts w:ascii="Times New Roman" w:hAnsi="Times New Roman" w:cs="Times New Roman"/>
          <w:sz w:val="24"/>
          <w:szCs w:val="24"/>
        </w:rPr>
        <w:t>)</w:t>
      </w:r>
      <w:r w:rsidRPr="004B27B7">
        <w:rPr>
          <w:rFonts w:ascii="Times New Roman" w:hAnsi="Times New Roman" w:cs="Times New Roman"/>
          <w:sz w:val="24"/>
          <w:szCs w:val="24"/>
        </w:rPr>
        <w:t xml:space="preserve"> menyatakan bahwa </w:t>
      </w:r>
      <w:r w:rsidRPr="004B27B7">
        <w:rPr>
          <w:rFonts w:ascii="Times New Roman" w:hAnsi="Times New Roman" w:cs="Times New Roman"/>
          <w:i/>
          <w:iCs/>
          <w:sz w:val="24"/>
          <w:szCs w:val="24"/>
        </w:rPr>
        <w:t xml:space="preserve">green accounting </w:t>
      </w:r>
      <w:r w:rsidRPr="004B27B7">
        <w:rPr>
          <w:rFonts w:ascii="Times New Roman" w:hAnsi="Times New Roman" w:cs="Times New Roman"/>
          <w:sz w:val="24"/>
          <w:szCs w:val="24"/>
        </w:rPr>
        <w:t xml:space="preserve">memiliki pengaruh yang positif dan signifikan. Hal ini karena investor menerima baikdari adanya tindakan </w:t>
      </w:r>
      <w:r w:rsidRPr="004B27B7">
        <w:rPr>
          <w:rFonts w:ascii="Times New Roman" w:hAnsi="Times New Roman" w:cs="Times New Roman"/>
          <w:i/>
          <w:iCs/>
          <w:sz w:val="24"/>
          <w:szCs w:val="24"/>
        </w:rPr>
        <w:t>green accounting</w:t>
      </w:r>
      <w:r w:rsidRPr="004B27B7">
        <w:rPr>
          <w:rFonts w:ascii="Times New Roman" w:hAnsi="Times New Roman" w:cs="Times New Roman"/>
          <w:sz w:val="24"/>
          <w:szCs w:val="24"/>
        </w:rPr>
        <w:t xml:space="preserve"> sehingga </w:t>
      </w:r>
      <w:r w:rsidRPr="004B27B7">
        <w:rPr>
          <w:rFonts w:ascii="Times New Roman" w:hAnsi="Times New Roman" w:cs="Times New Roman"/>
          <w:i/>
          <w:iCs/>
          <w:sz w:val="24"/>
          <w:szCs w:val="24"/>
        </w:rPr>
        <w:t>profitabilitas</w:t>
      </w:r>
      <w:r w:rsidRPr="004B27B7">
        <w:rPr>
          <w:rFonts w:ascii="Times New Roman" w:hAnsi="Times New Roman" w:cs="Times New Roman"/>
          <w:sz w:val="24"/>
          <w:szCs w:val="24"/>
        </w:rPr>
        <w:t xml:space="preserve"> mengalami kenaikan, dan juga masyarakat lebih tertarik membeli dan memakai jasa perusahaan sebagai wujud apresiasi atas usaha dalam menjaga lingkungan sekitar. Hasil ini sejalan dengan penelitian sebelumnya, di mana pada penelitian tersebut menyatakan bahwa pengungkapan akuntansi lingkungan memiliki pengaruh yang signifikan positif terhadap perusahaan. Pengungkapan biaya lingkungan dianggap sebagai pengurang pajak nantinya karena akan berpengaruh terhadap berkurangnya laba perusahaan</w:t>
      </w:r>
      <w:r w:rsidR="00177DFC">
        <w:rPr>
          <w:rFonts w:ascii="Times New Roman" w:hAnsi="Times New Roman" w:cs="Times New Roman"/>
          <w:sz w:val="24"/>
          <w:szCs w:val="24"/>
        </w:rPr>
        <w:t>.</w:t>
      </w:r>
    </w:p>
    <w:p w14:paraId="6FD8EED0" w14:textId="77777777" w:rsidR="008775EB" w:rsidRPr="004B27B7" w:rsidRDefault="00000000" w:rsidP="004B27B7">
      <w:pPr>
        <w:spacing w:line="360" w:lineRule="auto"/>
        <w:jc w:val="both"/>
        <w:rPr>
          <w:rFonts w:ascii="Times New Roman" w:hAnsi="Times New Roman" w:cs="Times New Roman"/>
          <w:b/>
          <w:bCs/>
          <w:sz w:val="24"/>
          <w:szCs w:val="24"/>
        </w:rPr>
      </w:pPr>
      <w:r w:rsidRPr="004B27B7">
        <w:rPr>
          <w:rFonts w:ascii="Times New Roman" w:hAnsi="Times New Roman" w:cs="Times New Roman"/>
          <w:b/>
          <w:bCs/>
          <w:sz w:val="24"/>
          <w:szCs w:val="24"/>
        </w:rPr>
        <w:t>KESIMPULAN DAN IMPLIKASI</w:t>
      </w:r>
    </w:p>
    <w:p w14:paraId="704E8584" w14:textId="77777777" w:rsidR="008775EB" w:rsidRPr="004B27B7" w:rsidRDefault="00000000" w:rsidP="004B27B7">
      <w:pPr>
        <w:spacing w:line="360" w:lineRule="auto"/>
        <w:jc w:val="both"/>
        <w:rPr>
          <w:rFonts w:ascii="Times New Roman" w:hAnsi="Times New Roman" w:cs="Times New Roman"/>
          <w:b/>
          <w:bCs/>
          <w:sz w:val="24"/>
          <w:szCs w:val="24"/>
        </w:rPr>
      </w:pPr>
      <w:r w:rsidRPr="004B27B7">
        <w:rPr>
          <w:rFonts w:ascii="Times New Roman" w:hAnsi="Times New Roman" w:cs="Times New Roman"/>
          <w:b/>
          <w:bCs/>
          <w:sz w:val="24"/>
          <w:szCs w:val="24"/>
        </w:rPr>
        <w:t>Kesimpulan</w:t>
      </w:r>
    </w:p>
    <w:p w14:paraId="3C081B21" w14:textId="77777777" w:rsidR="003909BF" w:rsidRPr="003909BF" w:rsidRDefault="003909BF" w:rsidP="003909BF">
      <w:pPr>
        <w:spacing w:line="360" w:lineRule="auto"/>
        <w:ind w:firstLine="720"/>
        <w:jc w:val="both"/>
        <w:rPr>
          <w:rFonts w:ascii="Times New Roman" w:hAnsi="Times New Roman" w:cs="Times New Roman"/>
          <w:sz w:val="24"/>
          <w:szCs w:val="24"/>
        </w:rPr>
      </w:pPr>
      <w:r w:rsidRPr="003909BF">
        <w:rPr>
          <w:rFonts w:ascii="Times New Roman" w:hAnsi="Times New Roman" w:cs="Times New Roman"/>
          <w:sz w:val="24"/>
          <w:szCs w:val="24"/>
        </w:rPr>
        <w:t>Temuan penelitian mengindikasikan bahwa akuntansi hijau yang diukur melalui biaya lingkungan memiliki dampak positif dan signifikan terhadap profitabilitas perusahaan tambang yang terdaftar di BEI untuk periode 2019–2023. Artinya, semakin besar perhatian perusahaan terhadap pencatatan dan pengelolaan biaya lingkungan, semakin besar pula kemampuan perusahaan untuk meraih keuntungan. Implementasi akuntansi hijau tidak hanya merupakan bentuk tanggung jawab sosial perusahaan terhadap masalah lingkungan, tetapi juga berperan dalam meningkatkan efisiensi operasional serta citra perusahaan di hadapan pemangku kepentingan. Temuan ini mendukung teori legitimasi yang menyatakan bahwa perusahaan yang menjaga keseimbangan antara kinerja ekonomi dan tanggung jawab lingkungan akan memperoleh penerimaan sosial yang lebih tinggi, yang pada akhirnya memperkuat profitabilitasnya</w:t>
      </w:r>
    </w:p>
    <w:p w14:paraId="5CEDAA34" w14:textId="77777777" w:rsidR="007266AC" w:rsidRDefault="00000000" w:rsidP="007266AC">
      <w:pPr>
        <w:spacing w:line="360" w:lineRule="auto"/>
        <w:jc w:val="both"/>
        <w:rPr>
          <w:rFonts w:ascii="Times New Roman" w:hAnsi="Times New Roman" w:cs="Times New Roman"/>
          <w:b/>
          <w:bCs/>
          <w:sz w:val="24"/>
          <w:szCs w:val="24"/>
        </w:rPr>
      </w:pPr>
      <w:r w:rsidRPr="004B27B7">
        <w:rPr>
          <w:rFonts w:ascii="Times New Roman" w:hAnsi="Times New Roman" w:cs="Times New Roman"/>
          <w:b/>
          <w:bCs/>
          <w:sz w:val="24"/>
          <w:szCs w:val="24"/>
        </w:rPr>
        <w:lastRenderedPageBreak/>
        <w:t>Implikasi</w:t>
      </w:r>
    </w:p>
    <w:p w14:paraId="5B06B43A" w14:textId="428C31E2" w:rsidR="003909BF" w:rsidRPr="007266AC" w:rsidRDefault="003909BF" w:rsidP="007266AC">
      <w:pPr>
        <w:spacing w:line="360" w:lineRule="auto"/>
        <w:jc w:val="both"/>
        <w:rPr>
          <w:rFonts w:ascii="Times New Roman" w:hAnsi="Times New Roman" w:cs="Times New Roman"/>
          <w:b/>
          <w:bCs/>
          <w:sz w:val="24"/>
          <w:szCs w:val="24"/>
        </w:rPr>
      </w:pPr>
      <w:r w:rsidRPr="003909BF">
        <w:rPr>
          <w:rFonts w:ascii="Times New Roman" w:hAnsi="Times New Roman" w:cs="Times New Roman"/>
          <w:sz w:val="24"/>
          <w:szCs w:val="24"/>
        </w:rPr>
        <w:t>Hasil penelitian ini menunjukkan implikasi yang signifikan bahwa penerapan akuntansi hijau melalui pengakuan dan pengungkapan biaya lingkungan memiliki peran strategis dalam meningkatkan profitabilitas serta memperkuat legitimasi perusahaan di hadapan pemangku kepentingan. Menggabungkan elemen lingkungan dalam sistem akuntansi keuangan tidak hanya menunjukkan kepatuhan terhadap peraturan dan tanggung jawab sosial, tetapi juga meningkatkan efisiensi operasional dan mendukung keberlanjutan jangka panjang. Bagi manajemen, temuan ini menegaskan bahwa biaya lingkungan harus dianggap sebagai investasi strategis yang dapat menciptakan nilai ekonomi dan sosial secara bersamaan. Bagi regulator, temuan penelitian ini mengindikasikan pentingnya penguatan kebijakan dan standar akuntansi lingkungan agar implementasi green accounting dapat dilakukan secara konsisten, transparan, dan terukur di semua sektor industri, terutama di sektor pertambangan yang berdampak besar terhadap lingkungan. Untuk peneliti berikutnya, disarankan agar memperluas jangkauan penelitian dengan menambahkan variabel lain seperti kinerja lingkungan, ukuran perusahaan, atau tata kelola perusahaan, serta memanfaatkan periode observasi yang lebih panjang atau pendekatan metode panel data sehingga hasil penelitian dapat memberikan gambaran yang lebih menyeluruh tentang hubungan antara akuntansi hijau dan profitabilitas perusahaan</w:t>
      </w:r>
      <w:r w:rsidR="00A12C81">
        <w:rPr>
          <w:rFonts w:ascii="Times New Roman" w:hAnsi="Times New Roman" w:cs="Times New Roman"/>
          <w:sz w:val="24"/>
          <w:szCs w:val="24"/>
        </w:rPr>
        <w:t>.</w:t>
      </w:r>
    </w:p>
    <w:p w14:paraId="21DE70B6" w14:textId="0F4B0267" w:rsidR="008775EB" w:rsidRDefault="007266AC" w:rsidP="007266AC">
      <w:pPr>
        <w:spacing w:after="0" w:line="360" w:lineRule="auto"/>
        <w:jc w:val="both"/>
        <w:rPr>
          <w:rFonts w:ascii="Times New Roman" w:hAnsi="Times New Roman" w:cs="Times New Roman"/>
          <w:b/>
          <w:bCs/>
          <w:sz w:val="24"/>
          <w:szCs w:val="24"/>
        </w:rPr>
      </w:pPr>
      <w:r w:rsidRPr="007266AC">
        <w:rPr>
          <w:rFonts w:ascii="Times New Roman" w:hAnsi="Times New Roman" w:cs="Times New Roman"/>
          <w:b/>
          <w:bCs/>
          <w:sz w:val="24"/>
          <w:szCs w:val="24"/>
        </w:rPr>
        <w:t>DAFTAR PUSTAKA</w:t>
      </w:r>
    </w:p>
    <w:p w14:paraId="06EDEF01" w14:textId="585C198F" w:rsidR="00177DFC" w:rsidRPr="00177DFC" w:rsidRDefault="00177DFC" w:rsidP="00177DFC">
      <w:pPr>
        <w:widowControl w:val="0"/>
        <w:autoSpaceDE w:val="0"/>
        <w:autoSpaceDN w:val="0"/>
        <w:adjustRightInd w:val="0"/>
        <w:spacing w:after="0" w:line="360" w:lineRule="auto"/>
        <w:ind w:left="480" w:hanging="480"/>
        <w:rPr>
          <w:rFonts w:ascii="Times New Roman" w:hAnsi="Times New Roman" w:cs="Times New Roman"/>
          <w:noProof/>
          <w:sz w:val="24"/>
        </w:rPr>
      </w:pPr>
      <w:r>
        <w:rPr>
          <w:rFonts w:ascii="Times New Roman" w:hAnsi="Times New Roman" w:cs="Times New Roman"/>
          <w:b/>
          <w:bCs/>
          <w:sz w:val="24"/>
          <w:szCs w:val="24"/>
        </w:rPr>
        <w:fldChar w:fldCharType="begin" w:fldLock="1"/>
      </w:r>
      <w:r>
        <w:rPr>
          <w:rFonts w:ascii="Times New Roman" w:hAnsi="Times New Roman" w:cs="Times New Roman"/>
          <w:b/>
          <w:bCs/>
          <w:sz w:val="24"/>
          <w:szCs w:val="24"/>
        </w:rPr>
        <w:instrText xml:space="preserve">ADDIN Mendeley Bibliography CSL_BIBLIOGRAPHY </w:instrText>
      </w:r>
      <w:r>
        <w:rPr>
          <w:rFonts w:ascii="Times New Roman" w:hAnsi="Times New Roman" w:cs="Times New Roman"/>
          <w:b/>
          <w:bCs/>
          <w:sz w:val="24"/>
          <w:szCs w:val="24"/>
        </w:rPr>
        <w:fldChar w:fldCharType="separate"/>
      </w:r>
      <w:r w:rsidRPr="00177DFC">
        <w:rPr>
          <w:rFonts w:ascii="Times New Roman" w:hAnsi="Times New Roman" w:cs="Times New Roman"/>
          <w:noProof/>
          <w:sz w:val="24"/>
        </w:rPr>
        <w:t xml:space="preserve">A.S.Ayu, A. (2024). KAJIAN GREEN ACCOUNTING, KINERJA LINGKUNGAN, DAN ESG DISCLOSURE TERHADAP PROFITABILITAS STUDY. </w:t>
      </w:r>
      <w:r w:rsidRPr="00177DFC">
        <w:rPr>
          <w:rFonts w:ascii="Times New Roman" w:hAnsi="Times New Roman" w:cs="Times New Roman"/>
          <w:i/>
          <w:iCs/>
          <w:noProof/>
          <w:sz w:val="24"/>
        </w:rPr>
        <w:t>JURNAL AKUNIDA</w:t>
      </w:r>
      <w:r w:rsidRPr="00177DFC">
        <w:rPr>
          <w:rFonts w:ascii="Times New Roman" w:hAnsi="Times New Roman" w:cs="Times New Roman"/>
          <w:noProof/>
          <w:sz w:val="24"/>
        </w:rPr>
        <w:t xml:space="preserve">, </w:t>
      </w:r>
      <w:r w:rsidRPr="00177DFC">
        <w:rPr>
          <w:rFonts w:ascii="Times New Roman" w:hAnsi="Times New Roman" w:cs="Times New Roman"/>
          <w:i/>
          <w:iCs/>
          <w:noProof/>
          <w:sz w:val="24"/>
        </w:rPr>
        <w:t>2</w:t>
      </w:r>
      <w:r w:rsidRPr="00177DFC">
        <w:rPr>
          <w:rFonts w:ascii="Times New Roman" w:hAnsi="Times New Roman" w:cs="Times New Roman"/>
          <w:noProof/>
          <w:sz w:val="24"/>
        </w:rPr>
        <w:t>, 306–312.</w:t>
      </w:r>
    </w:p>
    <w:p w14:paraId="70F6AD96" w14:textId="77777777" w:rsidR="00177DFC" w:rsidRPr="00177DFC" w:rsidRDefault="00177DFC" w:rsidP="00177DFC">
      <w:pPr>
        <w:widowControl w:val="0"/>
        <w:autoSpaceDE w:val="0"/>
        <w:autoSpaceDN w:val="0"/>
        <w:adjustRightInd w:val="0"/>
        <w:spacing w:after="0" w:line="360" w:lineRule="auto"/>
        <w:ind w:left="480" w:hanging="480"/>
        <w:rPr>
          <w:rFonts w:ascii="Times New Roman" w:hAnsi="Times New Roman" w:cs="Times New Roman"/>
          <w:noProof/>
          <w:sz w:val="24"/>
        </w:rPr>
      </w:pPr>
      <w:r w:rsidRPr="00177DFC">
        <w:rPr>
          <w:rFonts w:ascii="Times New Roman" w:hAnsi="Times New Roman" w:cs="Times New Roman"/>
          <w:noProof/>
          <w:sz w:val="24"/>
        </w:rPr>
        <w:t xml:space="preserve">Affandhy, A., Cholid Mawardi, M., &amp; Diah Fakhriyyah. (2025). Analisis Penerapan Green Accounting pada Kebijakan 3K RL (Kualitas. </w:t>
      </w:r>
      <w:r w:rsidRPr="00177DFC">
        <w:rPr>
          <w:rFonts w:ascii="Times New Roman" w:hAnsi="Times New Roman" w:cs="Times New Roman"/>
          <w:i/>
          <w:iCs/>
          <w:noProof/>
          <w:sz w:val="24"/>
        </w:rPr>
        <w:t>E_Jurnal Ilmiah Riset Akuntansi</w:t>
      </w:r>
      <w:r w:rsidRPr="00177DFC">
        <w:rPr>
          <w:rFonts w:ascii="Times New Roman" w:hAnsi="Times New Roman" w:cs="Times New Roman"/>
          <w:noProof/>
          <w:sz w:val="24"/>
        </w:rPr>
        <w:t xml:space="preserve">, </w:t>
      </w:r>
      <w:r w:rsidRPr="00177DFC">
        <w:rPr>
          <w:rFonts w:ascii="Times New Roman" w:hAnsi="Times New Roman" w:cs="Times New Roman"/>
          <w:i/>
          <w:iCs/>
          <w:noProof/>
          <w:sz w:val="24"/>
        </w:rPr>
        <w:t>14</w:t>
      </w:r>
      <w:r w:rsidRPr="00177DFC">
        <w:rPr>
          <w:rFonts w:ascii="Times New Roman" w:hAnsi="Times New Roman" w:cs="Times New Roman"/>
          <w:noProof/>
          <w:sz w:val="24"/>
        </w:rPr>
        <w:t>(01), 570–580. http://jim.unisma.ac.id/index.php/jra,</w:t>
      </w:r>
    </w:p>
    <w:p w14:paraId="426E447C" w14:textId="77777777" w:rsidR="00177DFC" w:rsidRPr="00177DFC" w:rsidRDefault="00177DFC" w:rsidP="00177DFC">
      <w:pPr>
        <w:widowControl w:val="0"/>
        <w:autoSpaceDE w:val="0"/>
        <w:autoSpaceDN w:val="0"/>
        <w:adjustRightInd w:val="0"/>
        <w:spacing w:after="0" w:line="360" w:lineRule="auto"/>
        <w:ind w:left="480" w:hanging="480"/>
        <w:rPr>
          <w:rFonts w:ascii="Times New Roman" w:hAnsi="Times New Roman" w:cs="Times New Roman"/>
          <w:noProof/>
          <w:sz w:val="24"/>
        </w:rPr>
      </w:pPr>
      <w:r w:rsidRPr="00177DFC">
        <w:rPr>
          <w:rFonts w:ascii="Times New Roman" w:hAnsi="Times New Roman" w:cs="Times New Roman"/>
          <w:noProof/>
          <w:sz w:val="24"/>
        </w:rPr>
        <w:t xml:space="preserve">Alimah, A., &amp; Sihono, A. (2024). Analisis Faktor-Faktor yang Mempengaruhi Profitabilitas. </w:t>
      </w:r>
      <w:r w:rsidRPr="00177DFC">
        <w:rPr>
          <w:rFonts w:ascii="Times New Roman" w:hAnsi="Times New Roman" w:cs="Times New Roman"/>
          <w:i/>
          <w:iCs/>
          <w:noProof/>
          <w:sz w:val="24"/>
        </w:rPr>
        <w:t>JIIP - Jurnal Ilmiah Ilmu Pendidikan</w:t>
      </w:r>
      <w:r w:rsidRPr="00177DFC">
        <w:rPr>
          <w:rFonts w:ascii="Times New Roman" w:hAnsi="Times New Roman" w:cs="Times New Roman"/>
          <w:noProof/>
          <w:sz w:val="24"/>
        </w:rPr>
        <w:t xml:space="preserve">, </w:t>
      </w:r>
      <w:r w:rsidRPr="00177DFC">
        <w:rPr>
          <w:rFonts w:ascii="Times New Roman" w:hAnsi="Times New Roman" w:cs="Times New Roman"/>
          <w:i/>
          <w:iCs/>
          <w:noProof/>
          <w:sz w:val="24"/>
        </w:rPr>
        <w:t>7</w:t>
      </w:r>
      <w:r w:rsidRPr="00177DFC">
        <w:rPr>
          <w:rFonts w:ascii="Times New Roman" w:hAnsi="Times New Roman" w:cs="Times New Roman"/>
          <w:noProof/>
          <w:sz w:val="24"/>
        </w:rPr>
        <w:t>(1), 117–126. https://doi.org/10.54371/jiip.v7i1.3151</w:t>
      </w:r>
    </w:p>
    <w:p w14:paraId="1B461F97" w14:textId="77777777" w:rsidR="00177DFC" w:rsidRPr="00177DFC" w:rsidRDefault="00177DFC" w:rsidP="00177DFC">
      <w:pPr>
        <w:widowControl w:val="0"/>
        <w:autoSpaceDE w:val="0"/>
        <w:autoSpaceDN w:val="0"/>
        <w:adjustRightInd w:val="0"/>
        <w:spacing w:after="0" w:line="360" w:lineRule="auto"/>
        <w:ind w:left="480" w:hanging="480"/>
        <w:rPr>
          <w:rFonts w:ascii="Times New Roman" w:hAnsi="Times New Roman" w:cs="Times New Roman"/>
          <w:noProof/>
          <w:sz w:val="24"/>
        </w:rPr>
      </w:pPr>
      <w:r w:rsidRPr="00177DFC">
        <w:rPr>
          <w:rFonts w:ascii="Times New Roman" w:hAnsi="Times New Roman" w:cs="Times New Roman"/>
          <w:noProof/>
          <w:sz w:val="24"/>
        </w:rPr>
        <w:t xml:space="preserve">Amalia, R., Hafizi, M. R., &amp; Mubarok, A. (2024). Pengaruh Penerapan Green Accounting Dan Kinerja Lingkungan Terhadap Profitabilitas Pada Perusahaan Pertambangan Yang Terdaftar Di Bursa Efek Indonesia. </w:t>
      </w:r>
      <w:r w:rsidRPr="00177DFC">
        <w:rPr>
          <w:rFonts w:ascii="Times New Roman" w:hAnsi="Times New Roman" w:cs="Times New Roman"/>
          <w:i/>
          <w:iCs/>
          <w:noProof/>
          <w:sz w:val="24"/>
        </w:rPr>
        <w:t>Accounting Journal of Ibrahimy (AJI) e-ISSN</w:t>
      </w:r>
      <w:r w:rsidRPr="00177DFC">
        <w:rPr>
          <w:rFonts w:ascii="Times New Roman" w:hAnsi="Times New Roman" w:cs="Times New Roman"/>
          <w:noProof/>
          <w:sz w:val="24"/>
        </w:rPr>
        <w:t xml:space="preserve">, </w:t>
      </w:r>
      <w:r w:rsidRPr="00177DFC">
        <w:rPr>
          <w:rFonts w:ascii="Times New Roman" w:hAnsi="Times New Roman" w:cs="Times New Roman"/>
          <w:i/>
          <w:iCs/>
          <w:noProof/>
          <w:sz w:val="24"/>
        </w:rPr>
        <w:t>2</w:t>
      </w:r>
      <w:r w:rsidRPr="00177DFC">
        <w:rPr>
          <w:rFonts w:ascii="Times New Roman" w:hAnsi="Times New Roman" w:cs="Times New Roman"/>
          <w:noProof/>
          <w:sz w:val="24"/>
        </w:rPr>
        <w:t>(1), 3026–6661.</w:t>
      </w:r>
    </w:p>
    <w:p w14:paraId="6C36B5D3" w14:textId="77777777" w:rsidR="00177DFC" w:rsidRPr="00177DFC" w:rsidRDefault="00177DFC" w:rsidP="00177DFC">
      <w:pPr>
        <w:widowControl w:val="0"/>
        <w:autoSpaceDE w:val="0"/>
        <w:autoSpaceDN w:val="0"/>
        <w:adjustRightInd w:val="0"/>
        <w:spacing w:after="0" w:line="360" w:lineRule="auto"/>
        <w:ind w:left="480" w:hanging="480"/>
        <w:rPr>
          <w:rFonts w:ascii="Times New Roman" w:hAnsi="Times New Roman" w:cs="Times New Roman"/>
          <w:noProof/>
          <w:sz w:val="24"/>
        </w:rPr>
      </w:pPr>
      <w:r w:rsidRPr="00177DFC">
        <w:rPr>
          <w:rFonts w:ascii="Times New Roman" w:hAnsi="Times New Roman" w:cs="Times New Roman"/>
          <w:noProof/>
          <w:sz w:val="24"/>
        </w:rPr>
        <w:t xml:space="preserve">Aprilian, I. N., &amp; Mulyadi, D. (2024). </w:t>
      </w:r>
      <w:r w:rsidRPr="00177DFC">
        <w:rPr>
          <w:rFonts w:ascii="Times New Roman" w:hAnsi="Times New Roman" w:cs="Times New Roman"/>
          <w:i/>
          <w:iCs/>
          <w:noProof/>
          <w:sz w:val="24"/>
        </w:rPr>
        <w:t xml:space="preserve">SEIKO : Journal of Management &amp; Business Pengaruh Penerapan Green Intellectual Capital Dan Social Responsibility Terhadap </w:t>
      </w:r>
      <w:r w:rsidRPr="00177DFC">
        <w:rPr>
          <w:rFonts w:ascii="Times New Roman" w:hAnsi="Times New Roman" w:cs="Times New Roman"/>
          <w:i/>
          <w:iCs/>
          <w:noProof/>
          <w:sz w:val="24"/>
        </w:rPr>
        <w:lastRenderedPageBreak/>
        <w:t>Profitabilitas Pada Perusahaan Manufaktur Yang Terdaftar di BEI ( Studi Pada Perusahaan</w:t>
      </w:r>
      <w:r w:rsidRPr="00177DFC">
        <w:rPr>
          <w:rFonts w:ascii="Times New Roman" w:hAnsi="Times New Roman" w:cs="Times New Roman"/>
          <w:noProof/>
          <w:sz w:val="24"/>
        </w:rPr>
        <w:t xml:space="preserve">. </w:t>
      </w:r>
      <w:r w:rsidRPr="00177DFC">
        <w:rPr>
          <w:rFonts w:ascii="Times New Roman" w:hAnsi="Times New Roman" w:cs="Times New Roman"/>
          <w:i/>
          <w:iCs/>
          <w:noProof/>
          <w:sz w:val="24"/>
        </w:rPr>
        <w:t>7</w:t>
      </w:r>
      <w:r w:rsidRPr="00177DFC">
        <w:rPr>
          <w:rFonts w:ascii="Times New Roman" w:hAnsi="Times New Roman" w:cs="Times New Roman"/>
          <w:noProof/>
          <w:sz w:val="24"/>
        </w:rPr>
        <w:t>(1), 1464–1477.</w:t>
      </w:r>
    </w:p>
    <w:p w14:paraId="09EA54EB" w14:textId="77777777" w:rsidR="00177DFC" w:rsidRPr="00177DFC" w:rsidRDefault="00177DFC" w:rsidP="00177DFC">
      <w:pPr>
        <w:widowControl w:val="0"/>
        <w:autoSpaceDE w:val="0"/>
        <w:autoSpaceDN w:val="0"/>
        <w:adjustRightInd w:val="0"/>
        <w:spacing w:after="0" w:line="360" w:lineRule="auto"/>
        <w:ind w:left="480" w:hanging="480"/>
        <w:rPr>
          <w:rFonts w:ascii="Times New Roman" w:hAnsi="Times New Roman" w:cs="Times New Roman"/>
          <w:noProof/>
          <w:sz w:val="24"/>
        </w:rPr>
      </w:pPr>
      <w:r w:rsidRPr="00177DFC">
        <w:rPr>
          <w:rFonts w:ascii="Times New Roman" w:hAnsi="Times New Roman" w:cs="Times New Roman"/>
          <w:noProof/>
          <w:sz w:val="24"/>
        </w:rPr>
        <w:t xml:space="preserve">Aziz, Z. A., &amp; Kholmi, M. (2024). Pengaruh Green Accounting dan corporate Social Responsibility terhadap Profitabilitas (Studi Empiris pada Perusahaan Energi Sub Sektor Pertambangan yang Terdaftar di BEI Tahun 2019-2021). </w:t>
      </w:r>
      <w:r w:rsidRPr="00177DFC">
        <w:rPr>
          <w:rFonts w:ascii="Times New Roman" w:hAnsi="Times New Roman" w:cs="Times New Roman"/>
          <w:i/>
          <w:iCs/>
          <w:noProof/>
          <w:sz w:val="24"/>
        </w:rPr>
        <w:t>Urnal Ekonomi Akuntansi Dan Manajemen</w:t>
      </w:r>
      <w:r w:rsidRPr="00177DFC">
        <w:rPr>
          <w:rFonts w:ascii="Times New Roman" w:hAnsi="Times New Roman" w:cs="Times New Roman"/>
          <w:noProof/>
          <w:sz w:val="24"/>
        </w:rPr>
        <w:t xml:space="preserve">, </w:t>
      </w:r>
      <w:r w:rsidRPr="00177DFC">
        <w:rPr>
          <w:rFonts w:ascii="Times New Roman" w:hAnsi="Times New Roman" w:cs="Times New Roman"/>
          <w:i/>
          <w:iCs/>
          <w:noProof/>
          <w:sz w:val="24"/>
        </w:rPr>
        <w:t>23</w:t>
      </w:r>
      <w:r w:rsidRPr="00177DFC">
        <w:rPr>
          <w:rFonts w:ascii="Times New Roman" w:hAnsi="Times New Roman" w:cs="Times New Roman"/>
          <w:noProof/>
          <w:sz w:val="24"/>
        </w:rPr>
        <w:t>(246), 54–63. https://core.ac.uk/download/pdf/609770697.pdf</w:t>
      </w:r>
    </w:p>
    <w:p w14:paraId="7DC8792F" w14:textId="77777777" w:rsidR="00177DFC" w:rsidRPr="00177DFC" w:rsidRDefault="00177DFC" w:rsidP="00177DFC">
      <w:pPr>
        <w:widowControl w:val="0"/>
        <w:autoSpaceDE w:val="0"/>
        <w:autoSpaceDN w:val="0"/>
        <w:adjustRightInd w:val="0"/>
        <w:spacing w:after="0" w:line="360" w:lineRule="auto"/>
        <w:ind w:left="480" w:hanging="480"/>
        <w:rPr>
          <w:rFonts w:ascii="Times New Roman" w:hAnsi="Times New Roman" w:cs="Times New Roman"/>
          <w:noProof/>
          <w:sz w:val="24"/>
        </w:rPr>
      </w:pPr>
      <w:r w:rsidRPr="00177DFC">
        <w:rPr>
          <w:rFonts w:ascii="Times New Roman" w:hAnsi="Times New Roman" w:cs="Times New Roman"/>
          <w:noProof/>
          <w:sz w:val="24"/>
        </w:rPr>
        <w:t xml:space="preserve">Bela, K., Said, D., &amp; Rasyid, S. (2023). Green Accounting: Reality And Disclosure (Studies In The Forestry Industry In South Papua). </w:t>
      </w:r>
      <w:r w:rsidRPr="00177DFC">
        <w:rPr>
          <w:rFonts w:ascii="Times New Roman" w:hAnsi="Times New Roman" w:cs="Times New Roman"/>
          <w:i/>
          <w:iCs/>
          <w:noProof/>
          <w:sz w:val="24"/>
        </w:rPr>
        <w:t>Management Studies and Entrepreneurship Journal</w:t>
      </w:r>
      <w:r w:rsidRPr="00177DFC">
        <w:rPr>
          <w:rFonts w:ascii="Times New Roman" w:hAnsi="Times New Roman" w:cs="Times New Roman"/>
          <w:noProof/>
          <w:sz w:val="24"/>
        </w:rPr>
        <w:t xml:space="preserve">, </w:t>
      </w:r>
      <w:r w:rsidRPr="00177DFC">
        <w:rPr>
          <w:rFonts w:ascii="Times New Roman" w:hAnsi="Times New Roman" w:cs="Times New Roman"/>
          <w:i/>
          <w:iCs/>
          <w:noProof/>
          <w:sz w:val="24"/>
        </w:rPr>
        <w:t>4</w:t>
      </w:r>
      <w:r w:rsidRPr="00177DFC">
        <w:rPr>
          <w:rFonts w:ascii="Times New Roman" w:hAnsi="Times New Roman" w:cs="Times New Roman"/>
          <w:noProof/>
          <w:sz w:val="24"/>
        </w:rPr>
        <w:t>(3), 3198–3205. http://journal.yrpipku.com/index.php/msej</w:t>
      </w:r>
    </w:p>
    <w:p w14:paraId="0EDDFAA9" w14:textId="77777777" w:rsidR="00177DFC" w:rsidRPr="00177DFC" w:rsidRDefault="00177DFC" w:rsidP="00177DFC">
      <w:pPr>
        <w:widowControl w:val="0"/>
        <w:autoSpaceDE w:val="0"/>
        <w:autoSpaceDN w:val="0"/>
        <w:adjustRightInd w:val="0"/>
        <w:spacing w:after="0" w:line="360" w:lineRule="auto"/>
        <w:ind w:left="480" w:hanging="480"/>
        <w:rPr>
          <w:rFonts w:ascii="Times New Roman" w:hAnsi="Times New Roman" w:cs="Times New Roman"/>
          <w:noProof/>
          <w:sz w:val="24"/>
        </w:rPr>
      </w:pPr>
      <w:r w:rsidRPr="00177DFC">
        <w:rPr>
          <w:rFonts w:ascii="Times New Roman" w:hAnsi="Times New Roman" w:cs="Times New Roman"/>
          <w:noProof/>
          <w:sz w:val="24"/>
        </w:rPr>
        <w:t xml:space="preserve">Christianus Tomy Saputra, Wilhelmina Mitan, &amp; Pipiet Niken Aurelia. (2024). Analisis Penerapan Akuntansi Biaya Lingkungan pada Industri Pabrik Tahu Super Jaya. </w:t>
      </w:r>
      <w:r w:rsidRPr="00177DFC">
        <w:rPr>
          <w:rFonts w:ascii="Times New Roman" w:hAnsi="Times New Roman" w:cs="Times New Roman"/>
          <w:i/>
          <w:iCs/>
          <w:noProof/>
          <w:sz w:val="24"/>
        </w:rPr>
        <w:t>Jurnal Ilmiah Ekonomi, Akuntansi, Dan Pajak</w:t>
      </w:r>
      <w:r w:rsidRPr="00177DFC">
        <w:rPr>
          <w:rFonts w:ascii="Times New Roman" w:hAnsi="Times New Roman" w:cs="Times New Roman"/>
          <w:noProof/>
          <w:sz w:val="24"/>
        </w:rPr>
        <w:t xml:space="preserve">, </w:t>
      </w:r>
      <w:r w:rsidRPr="00177DFC">
        <w:rPr>
          <w:rFonts w:ascii="Times New Roman" w:hAnsi="Times New Roman" w:cs="Times New Roman"/>
          <w:i/>
          <w:iCs/>
          <w:noProof/>
          <w:sz w:val="24"/>
        </w:rPr>
        <w:t>1</w:t>
      </w:r>
      <w:r w:rsidRPr="00177DFC">
        <w:rPr>
          <w:rFonts w:ascii="Times New Roman" w:hAnsi="Times New Roman" w:cs="Times New Roman"/>
          <w:noProof/>
          <w:sz w:val="24"/>
        </w:rPr>
        <w:t>(3), 342–359. https://doi.org/10.61132/jieap.v1i3.463</w:t>
      </w:r>
    </w:p>
    <w:p w14:paraId="74E5DF29" w14:textId="77777777" w:rsidR="00177DFC" w:rsidRPr="00177DFC" w:rsidRDefault="00177DFC" w:rsidP="00177DFC">
      <w:pPr>
        <w:widowControl w:val="0"/>
        <w:autoSpaceDE w:val="0"/>
        <w:autoSpaceDN w:val="0"/>
        <w:adjustRightInd w:val="0"/>
        <w:spacing w:after="0" w:line="360" w:lineRule="auto"/>
        <w:ind w:left="480" w:hanging="480"/>
        <w:rPr>
          <w:rFonts w:ascii="Times New Roman" w:hAnsi="Times New Roman" w:cs="Times New Roman"/>
          <w:noProof/>
          <w:sz w:val="24"/>
        </w:rPr>
      </w:pPr>
      <w:r w:rsidRPr="00177DFC">
        <w:rPr>
          <w:rFonts w:ascii="Times New Roman" w:hAnsi="Times New Roman" w:cs="Times New Roman"/>
          <w:noProof/>
          <w:sz w:val="24"/>
        </w:rPr>
        <w:t xml:space="preserve">Dawami Buchori. (2022). Analisis Rasio Profitabilitas Pada CV Surya Indah Perkasa Di Tanjung Redeb. </w:t>
      </w:r>
      <w:r w:rsidRPr="00177DFC">
        <w:rPr>
          <w:rFonts w:ascii="Times New Roman" w:hAnsi="Times New Roman" w:cs="Times New Roman"/>
          <w:i/>
          <w:iCs/>
          <w:noProof/>
          <w:sz w:val="24"/>
        </w:rPr>
        <w:t>MAMEN: Jurnal Manajemen</w:t>
      </w:r>
      <w:r w:rsidRPr="00177DFC">
        <w:rPr>
          <w:rFonts w:ascii="Times New Roman" w:hAnsi="Times New Roman" w:cs="Times New Roman"/>
          <w:noProof/>
          <w:sz w:val="24"/>
        </w:rPr>
        <w:t xml:space="preserve">, </w:t>
      </w:r>
      <w:r w:rsidRPr="00177DFC">
        <w:rPr>
          <w:rFonts w:ascii="Times New Roman" w:hAnsi="Times New Roman" w:cs="Times New Roman"/>
          <w:i/>
          <w:iCs/>
          <w:noProof/>
          <w:sz w:val="24"/>
        </w:rPr>
        <w:t>1</w:t>
      </w:r>
      <w:r w:rsidRPr="00177DFC">
        <w:rPr>
          <w:rFonts w:ascii="Times New Roman" w:hAnsi="Times New Roman" w:cs="Times New Roman"/>
          <w:noProof/>
          <w:sz w:val="24"/>
        </w:rPr>
        <w:t>(1), 49–61. https://doi.org/10.55123/mamen.v1i1.21</w:t>
      </w:r>
    </w:p>
    <w:p w14:paraId="31AF29D2" w14:textId="77777777" w:rsidR="00177DFC" w:rsidRPr="00177DFC" w:rsidRDefault="00177DFC" w:rsidP="00177DFC">
      <w:pPr>
        <w:widowControl w:val="0"/>
        <w:autoSpaceDE w:val="0"/>
        <w:autoSpaceDN w:val="0"/>
        <w:adjustRightInd w:val="0"/>
        <w:spacing w:after="0" w:line="360" w:lineRule="auto"/>
        <w:ind w:left="480" w:hanging="480"/>
        <w:rPr>
          <w:rFonts w:ascii="Times New Roman" w:hAnsi="Times New Roman" w:cs="Times New Roman"/>
          <w:noProof/>
          <w:sz w:val="24"/>
        </w:rPr>
      </w:pPr>
      <w:r w:rsidRPr="00177DFC">
        <w:rPr>
          <w:rFonts w:ascii="Times New Roman" w:hAnsi="Times New Roman" w:cs="Times New Roman"/>
          <w:noProof/>
          <w:sz w:val="24"/>
        </w:rPr>
        <w:t xml:space="preserve">Fadhillah, F. A., &amp; Pandin, M. Y. R. (2024). </w:t>
      </w:r>
      <w:r w:rsidRPr="00177DFC">
        <w:rPr>
          <w:rFonts w:ascii="Times New Roman" w:hAnsi="Times New Roman" w:cs="Times New Roman"/>
          <w:i/>
          <w:iCs/>
          <w:noProof/>
          <w:sz w:val="24"/>
        </w:rPr>
        <w:t>Pengaruh Penerapan Biaya Lingkungan Terhadap ROA , ROE , Dan NPM</w:t>
      </w:r>
      <w:r w:rsidRPr="00177DFC">
        <w:rPr>
          <w:rFonts w:ascii="Times New Roman" w:hAnsi="Times New Roman" w:cs="Times New Roman"/>
          <w:noProof/>
          <w:sz w:val="24"/>
        </w:rPr>
        <w:t xml:space="preserve">. </w:t>
      </w:r>
      <w:r w:rsidRPr="00177DFC">
        <w:rPr>
          <w:rFonts w:ascii="Times New Roman" w:hAnsi="Times New Roman" w:cs="Times New Roman"/>
          <w:i/>
          <w:iCs/>
          <w:noProof/>
          <w:sz w:val="24"/>
        </w:rPr>
        <w:t>2</w:t>
      </w:r>
      <w:r w:rsidRPr="00177DFC">
        <w:rPr>
          <w:rFonts w:ascii="Times New Roman" w:hAnsi="Times New Roman" w:cs="Times New Roman"/>
          <w:noProof/>
          <w:sz w:val="24"/>
        </w:rPr>
        <w:t>(3).</w:t>
      </w:r>
    </w:p>
    <w:p w14:paraId="27E435EE" w14:textId="77777777" w:rsidR="00177DFC" w:rsidRPr="00177DFC" w:rsidRDefault="00177DFC" w:rsidP="00177DFC">
      <w:pPr>
        <w:widowControl w:val="0"/>
        <w:autoSpaceDE w:val="0"/>
        <w:autoSpaceDN w:val="0"/>
        <w:adjustRightInd w:val="0"/>
        <w:spacing w:after="0" w:line="360" w:lineRule="auto"/>
        <w:ind w:left="480" w:hanging="480"/>
        <w:rPr>
          <w:rFonts w:ascii="Times New Roman" w:hAnsi="Times New Roman" w:cs="Times New Roman"/>
          <w:noProof/>
          <w:sz w:val="24"/>
        </w:rPr>
      </w:pPr>
      <w:r w:rsidRPr="00177DFC">
        <w:rPr>
          <w:rFonts w:ascii="Times New Roman" w:hAnsi="Times New Roman" w:cs="Times New Roman"/>
          <w:noProof/>
          <w:sz w:val="24"/>
        </w:rPr>
        <w:t xml:space="preserve">Fauzi, R. M., &amp; Nulhaqim, S. A. (2024). Masalah Konflik Pertambangan di Indonesia [Mining Conflict Issues in Indonesia]. </w:t>
      </w:r>
      <w:r w:rsidRPr="00177DFC">
        <w:rPr>
          <w:rFonts w:ascii="Times New Roman" w:hAnsi="Times New Roman" w:cs="Times New Roman"/>
          <w:i/>
          <w:iCs/>
          <w:noProof/>
          <w:sz w:val="24"/>
        </w:rPr>
        <w:t>Jurnal Kolaborasi Resolusi Konflik</w:t>
      </w:r>
      <w:r w:rsidRPr="00177DFC">
        <w:rPr>
          <w:rFonts w:ascii="Times New Roman" w:hAnsi="Times New Roman" w:cs="Times New Roman"/>
          <w:noProof/>
          <w:sz w:val="24"/>
        </w:rPr>
        <w:t xml:space="preserve">, </w:t>
      </w:r>
      <w:r w:rsidRPr="00177DFC">
        <w:rPr>
          <w:rFonts w:ascii="Times New Roman" w:hAnsi="Times New Roman" w:cs="Times New Roman"/>
          <w:i/>
          <w:iCs/>
          <w:noProof/>
          <w:sz w:val="24"/>
        </w:rPr>
        <w:t>6</w:t>
      </w:r>
      <w:r w:rsidRPr="00177DFC">
        <w:rPr>
          <w:rFonts w:ascii="Times New Roman" w:hAnsi="Times New Roman" w:cs="Times New Roman"/>
          <w:noProof/>
          <w:sz w:val="24"/>
        </w:rPr>
        <w:t>(1), 34–41.</w:t>
      </w:r>
    </w:p>
    <w:p w14:paraId="78F5C0BA" w14:textId="77777777" w:rsidR="00177DFC" w:rsidRPr="00177DFC" w:rsidRDefault="00177DFC" w:rsidP="00177DFC">
      <w:pPr>
        <w:widowControl w:val="0"/>
        <w:autoSpaceDE w:val="0"/>
        <w:autoSpaceDN w:val="0"/>
        <w:adjustRightInd w:val="0"/>
        <w:spacing w:after="0" w:line="360" w:lineRule="auto"/>
        <w:ind w:left="480" w:hanging="480"/>
        <w:rPr>
          <w:rFonts w:ascii="Times New Roman" w:hAnsi="Times New Roman" w:cs="Times New Roman"/>
          <w:noProof/>
          <w:sz w:val="24"/>
        </w:rPr>
      </w:pPr>
      <w:r w:rsidRPr="00177DFC">
        <w:rPr>
          <w:rFonts w:ascii="Times New Roman" w:hAnsi="Times New Roman" w:cs="Times New Roman"/>
          <w:noProof/>
          <w:sz w:val="24"/>
        </w:rPr>
        <w:t xml:space="preserve">Febrianti, M. M. (2023). Analisis Pengaruh Green Accounting, Corporate Social Responsibility, dan Firm Size terhadap Profitability. </w:t>
      </w:r>
      <w:r w:rsidRPr="00177DFC">
        <w:rPr>
          <w:rFonts w:ascii="Times New Roman" w:hAnsi="Times New Roman" w:cs="Times New Roman"/>
          <w:i/>
          <w:iCs/>
          <w:noProof/>
          <w:sz w:val="24"/>
        </w:rPr>
        <w:t>FIN-ACC (Finance Accounting)</w:t>
      </w:r>
      <w:r w:rsidRPr="00177DFC">
        <w:rPr>
          <w:rFonts w:ascii="Times New Roman" w:hAnsi="Times New Roman" w:cs="Times New Roman"/>
          <w:noProof/>
          <w:sz w:val="24"/>
        </w:rPr>
        <w:t xml:space="preserve">, </w:t>
      </w:r>
      <w:r w:rsidRPr="00177DFC">
        <w:rPr>
          <w:rFonts w:ascii="Times New Roman" w:hAnsi="Times New Roman" w:cs="Times New Roman"/>
          <w:i/>
          <w:iCs/>
          <w:noProof/>
          <w:sz w:val="24"/>
        </w:rPr>
        <w:t>7</w:t>
      </w:r>
      <w:r w:rsidRPr="00177DFC">
        <w:rPr>
          <w:rFonts w:ascii="Times New Roman" w:hAnsi="Times New Roman" w:cs="Times New Roman"/>
          <w:noProof/>
          <w:sz w:val="24"/>
        </w:rPr>
        <w:t>(10), 1565–1575. https://journal.widyadharma.ac.id/index.php/finacc/article/view/4845%0Ahttps://journal.widyadharma.ac.id/index.php/finacc/article/download/4845/3111</w:t>
      </w:r>
    </w:p>
    <w:p w14:paraId="06EF948A" w14:textId="77777777" w:rsidR="00177DFC" w:rsidRPr="00177DFC" w:rsidRDefault="00177DFC" w:rsidP="00177DFC">
      <w:pPr>
        <w:widowControl w:val="0"/>
        <w:autoSpaceDE w:val="0"/>
        <w:autoSpaceDN w:val="0"/>
        <w:adjustRightInd w:val="0"/>
        <w:spacing w:after="0" w:line="360" w:lineRule="auto"/>
        <w:ind w:left="480" w:hanging="480"/>
        <w:rPr>
          <w:rFonts w:ascii="Times New Roman" w:hAnsi="Times New Roman" w:cs="Times New Roman"/>
          <w:noProof/>
          <w:sz w:val="24"/>
        </w:rPr>
      </w:pPr>
      <w:r w:rsidRPr="00177DFC">
        <w:rPr>
          <w:rFonts w:ascii="Times New Roman" w:hAnsi="Times New Roman" w:cs="Times New Roman"/>
          <w:noProof/>
          <w:sz w:val="24"/>
        </w:rPr>
        <w:t xml:space="preserve">I Wayan Renold Tino, &amp; I Putu Sudana. (2024). Peran Corporate Social Responsibility Memediasi Pengaruh Penerapan Green Accounting dan Kinerja Lingkungan Terhadap Profitabilitas Perusahaan yang Terdaftar di Bei. </w:t>
      </w:r>
      <w:r w:rsidRPr="00177DFC">
        <w:rPr>
          <w:rFonts w:ascii="Times New Roman" w:hAnsi="Times New Roman" w:cs="Times New Roman"/>
          <w:i/>
          <w:iCs/>
          <w:noProof/>
          <w:sz w:val="24"/>
        </w:rPr>
        <w:t>Gemawisata: Jurnal Ilmiah Pariwisata</w:t>
      </w:r>
      <w:r w:rsidRPr="00177DFC">
        <w:rPr>
          <w:rFonts w:ascii="Times New Roman" w:hAnsi="Times New Roman" w:cs="Times New Roman"/>
          <w:noProof/>
          <w:sz w:val="24"/>
        </w:rPr>
        <w:t xml:space="preserve">, </w:t>
      </w:r>
      <w:r w:rsidRPr="00177DFC">
        <w:rPr>
          <w:rFonts w:ascii="Times New Roman" w:hAnsi="Times New Roman" w:cs="Times New Roman"/>
          <w:i/>
          <w:iCs/>
          <w:noProof/>
          <w:sz w:val="24"/>
        </w:rPr>
        <w:t>21</w:t>
      </w:r>
      <w:r w:rsidRPr="00177DFC">
        <w:rPr>
          <w:rFonts w:ascii="Times New Roman" w:hAnsi="Times New Roman" w:cs="Times New Roman"/>
          <w:noProof/>
          <w:sz w:val="24"/>
        </w:rPr>
        <w:t>(1), 17–32. https://doi.org/10.56910/gemawisata.v21i1.428</w:t>
      </w:r>
    </w:p>
    <w:p w14:paraId="30221414" w14:textId="77777777" w:rsidR="00177DFC" w:rsidRPr="00177DFC" w:rsidRDefault="00177DFC" w:rsidP="00177DFC">
      <w:pPr>
        <w:widowControl w:val="0"/>
        <w:autoSpaceDE w:val="0"/>
        <w:autoSpaceDN w:val="0"/>
        <w:adjustRightInd w:val="0"/>
        <w:spacing w:after="0" w:line="360" w:lineRule="auto"/>
        <w:ind w:left="480" w:hanging="480"/>
        <w:rPr>
          <w:rFonts w:ascii="Times New Roman" w:hAnsi="Times New Roman" w:cs="Times New Roman"/>
          <w:noProof/>
          <w:sz w:val="24"/>
        </w:rPr>
      </w:pPr>
      <w:r w:rsidRPr="00177DFC">
        <w:rPr>
          <w:rFonts w:ascii="Times New Roman" w:hAnsi="Times New Roman" w:cs="Times New Roman"/>
          <w:noProof/>
          <w:sz w:val="24"/>
        </w:rPr>
        <w:t xml:space="preserve">Islamey, F. E. (2021). Perlakuan Akuntansi Lingkungan Terhadap Pengelolaan Limbah Pada Rumah Sakit Paru Jember. </w:t>
      </w:r>
      <w:r w:rsidRPr="00177DFC">
        <w:rPr>
          <w:rFonts w:ascii="Times New Roman" w:hAnsi="Times New Roman" w:cs="Times New Roman"/>
          <w:i/>
          <w:iCs/>
          <w:noProof/>
          <w:sz w:val="24"/>
        </w:rPr>
        <w:t>Jurnal Fakultas Ekonomi Universitas Muhammadiyah Jember</w:t>
      </w:r>
      <w:r w:rsidRPr="00177DFC">
        <w:rPr>
          <w:rFonts w:ascii="Times New Roman" w:hAnsi="Times New Roman" w:cs="Times New Roman"/>
          <w:noProof/>
          <w:sz w:val="24"/>
        </w:rPr>
        <w:t xml:space="preserve">, </w:t>
      </w:r>
      <w:r w:rsidRPr="00177DFC">
        <w:rPr>
          <w:rFonts w:ascii="Times New Roman" w:hAnsi="Times New Roman" w:cs="Times New Roman"/>
          <w:i/>
          <w:iCs/>
          <w:noProof/>
          <w:sz w:val="24"/>
        </w:rPr>
        <w:t>1</w:t>
      </w:r>
      <w:r w:rsidRPr="00177DFC">
        <w:rPr>
          <w:rFonts w:ascii="Times New Roman" w:hAnsi="Times New Roman" w:cs="Times New Roman"/>
          <w:noProof/>
          <w:sz w:val="24"/>
        </w:rPr>
        <w:t>(1), 1–20. www.unmuhjember.ac.id</w:t>
      </w:r>
    </w:p>
    <w:p w14:paraId="2669019C" w14:textId="77777777" w:rsidR="00177DFC" w:rsidRPr="00177DFC" w:rsidRDefault="00177DFC" w:rsidP="00177DFC">
      <w:pPr>
        <w:widowControl w:val="0"/>
        <w:autoSpaceDE w:val="0"/>
        <w:autoSpaceDN w:val="0"/>
        <w:adjustRightInd w:val="0"/>
        <w:spacing w:after="0" w:line="360" w:lineRule="auto"/>
        <w:ind w:left="480" w:hanging="480"/>
        <w:rPr>
          <w:rFonts w:ascii="Times New Roman" w:hAnsi="Times New Roman" w:cs="Times New Roman"/>
          <w:noProof/>
          <w:sz w:val="24"/>
        </w:rPr>
      </w:pPr>
      <w:r w:rsidRPr="00177DFC">
        <w:rPr>
          <w:rFonts w:ascii="Times New Roman" w:hAnsi="Times New Roman" w:cs="Times New Roman"/>
          <w:noProof/>
          <w:sz w:val="24"/>
        </w:rPr>
        <w:t xml:space="preserve">Kartika Wulandhari, N. M. M. (2025). </w:t>
      </w:r>
      <w:r w:rsidRPr="00177DFC">
        <w:rPr>
          <w:rFonts w:ascii="Times New Roman" w:hAnsi="Times New Roman" w:cs="Times New Roman"/>
          <w:i/>
          <w:iCs/>
          <w:noProof/>
          <w:sz w:val="24"/>
        </w:rPr>
        <w:t>Kontribusi Biaya Lingkungan , Green Accounting , CSR , dan Ukuran</w:t>
      </w:r>
      <w:r w:rsidRPr="00177DFC">
        <w:rPr>
          <w:rFonts w:ascii="Times New Roman" w:hAnsi="Times New Roman" w:cs="Times New Roman"/>
          <w:noProof/>
          <w:sz w:val="24"/>
        </w:rPr>
        <w:t xml:space="preserve">. </w:t>
      </w:r>
      <w:r w:rsidRPr="00177DFC">
        <w:rPr>
          <w:rFonts w:ascii="Times New Roman" w:hAnsi="Times New Roman" w:cs="Times New Roman"/>
          <w:i/>
          <w:iCs/>
          <w:noProof/>
          <w:sz w:val="24"/>
        </w:rPr>
        <w:t>3</w:t>
      </w:r>
      <w:r w:rsidRPr="00177DFC">
        <w:rPr>
          <w:rFonts w:ascii="Times New Roman" w:hAnsi="Times New Roman" w:cs="Times New Roman"/>
          <w:noProof/>
          <w:sz w:val="24"/>
        </w:rPr>
        <w:t>.</w:t>
      </w:r>
    </w:p>
    <w:p w14:paraId="256F75F2" w14:textId="77777777" w:rsidR="00177DFC" w:rsidRPr="00177DFC" w:rsidRDefault="00177DFC" w:rsidP="00177DFC">
      <w:pPr>
        <w:widowControl w:val="0"/>
        <w:autoSpaceDE w:val="0"/>
        <w:autoSpaceDN w:val="0"/>
        <w:adjustRightInd w:val="0"/>
        <w:spacing w:after="0" w:line="360" w:lineRule="auto"/>
        <w:ind w:left="480" w:hanging="480"/>
        <w:rPr>
          <w:rFonts w:ascii="Times New Roman" w:hAnsi="Times New Roman" w:cs="Times New Roman"/>
          <w:noProof/>
          <w:sz w:val="24"/>
        </w:rPr>
      </w:pPr>
      <w:r w:rsidRPr="00177DFC">
        <w:rPr>
          <w:rFonts w:ascii="Times New Roman" w:hAnsi="Times New Roman" w:cs="Times New Roman"/>
          <w:noProof/>
          <w:sz w:val="24"/>
        </w:rPr>
        <w:lastRenderedPageBreak/>
        <w:t xml:space="preserve">Kholmi, M., &amp; Nafiza, S. A. (2022). Pengaruh Penerapan Green Accounting dan Corporate Social Responsibility Terhadap Profitabilitas (Studi Pada Perusahaan Manufaktur Yang Terdaftar di BEI Tahun 2018-2019 ). </w:t>
      </w:r>
      <w:r w:rsidRPr="00177DFC">
        <w:rPr>
          <w:rFonts w:ascii="Times New Roman" w:hAnsi="Times New Roman" w:cs="Times New Roman"/>
          <w:i/>
          <w:iCs/>
          <w:noProof/>
          <w:sz w:val="24"/>
        </w:rPr>
        <w:t>Reviu Akuntansi Dan Bisnis Indonesia</w:t>
      </w:r>
      <w:r w:rsidRPr="00177DFC">
        <w:rPr>
          <w:rFonts w:ascii="Times New Roman" w:hAnsi="Times New Roman" w:cs="Times New Roman"/>
          <w:noProof/>
          <w:sz w:val="24"/>
        </w:rPr>
        <w:t xml:space="preserve">, </w:t>
      </w:r>
      <w:r w:rsidRPr="00177DFC">
        <w:rPr>
          <w:rFonts w:ascii="Times New Roman" w:hAnsi="Times New Roman" w:cs="Times New Roman"/>
          <w:i/>
          <w:iCs/>
          <w:noProof/>
          <w:sz w:val="24"/>
        </w:rPr>
        <w:t>6</w:t>
      </w:r>
      <w:r w:rsidRPr="00177DFC">
        <w:rPr>
          <w:rFonts w:ascii="Times New Roman" w:hAnsi="Times New Roman" w:cs="Times New Roman"/>
          <w:noProof/>
          <w:sz w:val="24"/>
        </w:rPr>
        <w:t>(1), 143–155. https://doi.org/10.18196/rabin.v6i1.12998</w:t>
      </w:r>
    </w:p>
    <w:p w14:paraId="400C8833" w14:textId="77777777" w:rsidR="00177DFC" w:rsidRPr="00177DFC" w:rsidRDefault="00177DFC" w:rsidP="00177DFC">
      <w:pPr>
        <w:widowControl w:val="0"/>
        <w:autoSpaceDE w:val="0"/>
        <w:autoSpaceDN w:val="0"/>
        <w:adjustRightInd w:val="0"/>
        <w:spacing w:after="0" w:line="360" w:lineRule="auto"/>
        <w:ind w:left="480" w:hanging="480"/>
        <w:rPr>
          <w:rFonts w:ascii="Times New Roman" w:hAnsi="Times New Roman" w:cs="Times New Roman"/>
          <w:noProof/>
          <w:sz w:val="24"/>
        </w:rPr>
      </w:pPr>
      <w:r w:rsidRPr="00177DFC">
        <w:rPr>
          <w:rFonts w:ascii="Times New Roman" w:hAnsi="Times New Roman" w:cs="Times New Roman"/>
          <w:noProof/>
          <w:sz w:val="24"/>
        </w:rPr>
        <w:t xml:space="preserve">Kondo, A. M. F., &amp; Wirawati, N. G. P. (2024). Penerapan Green Accounting, Profitabilitas, Leverage, Ukuran Dewan Komisaris, dan Pengungkapan Media Pada Pengungkapan CSR. </w:t>
      </w:r>
      <w:r w:rsidRPr="00177DFC">
        <w:rPr>
          <w:rFonts w:ascii="Times New Roman" w:hAnsi="Times New Roman" w:cs="Times New Roman"/>
          <w:i/>
          <w:iCs/>
          <w:noProof/>
          <w:sz w:val="24"/>
        </w:rPr>
        <w:t>E-Jurnal Akuntansi</w:t>
      </w:r>
      <w:r w:rsidRPr="00177DFC">
        <w:rPr>
          <w:rFonts w:ascii="Times New Roman" w:hAnsi="Times New Roman" w:cs="Times New Roman"/>
          <w:noProof/>
          <w:sz w:val="24"/>
        </w:rPr>
        <w:t xml:space="preserve">, </w:t>
      </w:r>
      <w:r w:rsidRPr="00177DFC">
        <w:rPr>
          <w:rFonts w:ascii="Times New Roman" w:hAnsi="Times New Roman" w:cs="Times New Roman"/>
          <w:i/>
          <w:iCs/>
          <w:noProof/>
          <w:sz w:val="24"/>
        </w:rPr>
        <w:t>34</w:t>
      </w:r>
      <w:r w:rsidRPr="00177DFC">
        <w:rPr>
          <w:rFonts w:ascii="Times New Roman" w:hAnsi="Times New Roman" w:cs="Times New Roman"/>
          <w:noProof/>
          <w:sz w:val="24"/>
        </w:rPr>
        <w:t>(8), 1973. https://doi.org/10.24843/EJA.2024.v34.i08.p06</w:t>
      </w:r>
    </w:p>
    <w:p w14:paraId="3BD1EAB6" w14:textId="77777777" w:rsidR="00177DFC" w:rsidRPr="00177DFC" w:rsidRDefault="00177DFC" w:rsidP="00177DFC">
      <w:pPr>
        <w:widowControl w:val="0"/>
        <w:autoSpaceDE w:val="0"/>
        <w:autoSpaceDN w:val="0"/>
        <w:adjustRightInd w:val="0"/>
        <w:spacing w:after="0" w:line="360" w:lineRule="auto"/>
        <w:ind w:left="480" w:hanging="480"/>
        <w:rPr>
          <w:rFonts w:ascii="Times New Roman" w:hAnsi="Times New Roman" w:cs="Times New Roman"/>
          <w:noProof/>
          <w:sz w:val="24"/>
        </w:rPr>
      </w:pPr>
      <w:r w:rsidRPr="00177DFC">
        <w:rPr>
          <w:rFonts w:ascii="Times New Roman" w:hAnsi="Times New Roman" w:cs="Times New Roman"/>
          <w:noProof/>
          <w:sz w:val="24"/>
        </w:rPr>
        <w:t xml:space="preserve">Laowo, Y. S., Zai, A. S., Fakultas, D., Universitas, H., Raya, N., &amp; Hidup, L. (2022). </w:t>
      </w:r>
      <w:r w:rsidRPr="00177DFC">
        <w:rPr>
          <w:rFonts w:ascii="Times New Roman" w:hAnsi="Times New Roman" w:cs="Times New Roman"/>
          <w:i/>
          <w:iCs/>
          <w:noProof/>
          <w:sz w:val="24"/>
        </w:rPr>
        <w:t>Tentang Perlindungan Dan Pengololaan</w:t>
      </w:r>
      <w:r w:rsidRPr="00177DFC">
        <w:rPr>
          <w:rFonts w:ascii="Times New Roman" w:hAnsi="Times New Roman" w:cs="Times New Roman"/>
          <w:noProof/>
          <w:sz w:val="24"/>
        </w:rPr>
        <w:t>.</w:t>
      </w:r>
    </w:p>
    <w:p w14:paraId="7F262E51" w14:textId="77777777" w:rsidR="00177DFC" w:rsidRPr="00177DFC" w:rsidRDefault="00177DFC" w:rsidP="00177DFC">
      <w:pPr>
        <w:widowControl w:val="0"/>
        <w:autoSpaceDE w:val="0"/>
        <w:autoSpaceDN w:val="0"/>
        <w:adjustRightInd w:val="0"/>
        <w:spacing w:after="0" w:line="360" w:lineRule="auto"/>
        <w:ind w:left="480" w:hanging="480"/>
        <w:rPr>
          <w:rFonts w:ascii="Times New Roman" w:hAnsi="Times New Roman" w:cs="Times New Roman"/>
          <w:noProof/>
          <w:sz w:val="24"/>
        </w:rPr>
      </w:pPr>
      <w:r w:rsidRPr="00177DFC">
        <w:rPr>
          <w:rFonts w:ascii="Times New Roman" w:hAnsi="Times New Roman" w:cs="Times New Roman"/>
          <w:noProof/>
          <w:sz w:val="24"/>
        </w:rPr>
        <w:t xml:space="preserve">Listiyani, N. (2020). Dampak Pertambangan Terhadap Lingkungan Hidup Di Kalimantan Selatan Dan Implikasinya Bagi Hak-Hak Warga Negara. </w:t>
      </w:r>
      <w:r w:rsidRPr="00177DFC">
        <w:rPr>
          <w:rFonts w:ascii="Times New Roman" w:hAnsi="Times New Roman" w:cs="Times New Roman"/>
          <w:i/>
          <w:iCs/>
          <w:noProof/>
          <w:sz w:val="24"/>
        </w:rPr>
        <w:t>Al-Adl : Jurnal Hukum</w:t>
      </w:r>
      <w:r w:rsidRPr="00177DFC">
        <w:rPr>
          <w:rFonts w:ascii="Times New Roman" w:hAnsi="Times New Roman" w:cs="Times New Roman"/>
          <w:noProof/>
          <w:sz w:val="24"/>
        </w:rPr>
        <w:t xml:space="preserve">, </w:t>
      </w:r>
      <w:r w:rsidRPr="00177DFC">
        <w:rPr>
          <w:rFonts w:ascii="Times New Roman" w:hAnsi="Times New Roman" w:cs="Times New Roman"/>
          <w:i/>
          <w:iCs/>
          <w:noProof/>
          <w:sz w:val="24"/>
        </w:rPr>
        <w:t>9</w:t>
      </w:r>
      <w:r w:rsidRPr="00177DFC">
        <w:rPr>
          <w:rFonts w:ascii="Times New Roman" w:hAnsi="Times New Roman" w:cs="Times New Roman"/>
          <w:noProof/>
          <w:sz w:val="24"/>
        </w:rPr>
        <w:t>(1), 67. https://doi.org/10.31602/al-adl.v9i1.803</w:t>
      </w:r>
    </w:p>
    <w:p w14:paraId="76CBD055" w14:textId="77777777" w:rsidR="00177DFC" w:rsidRPr="00177DFC" w:rsidRDefault="00177DFC" w:rsidP="00177DFC">
      <w:pPr>
        <w:widowControl w:val="0"/>
        <w:autoSpaceDE w:val="0"/>
        <w:autoSpaceDN w:val="0"/>
        <w:adjustRightInd w:val="0"/>
        <w:spacing w:after="0" w:line="360" w:lineRule="auto"/>
        <w:ind w:left="480" w:hanging="480"/>
        <w:rPr>
          <w:rFonts w:ascii="Times New Roman" w:hAnsi="Times New Roman" w:cs="Times New Roman"/>
          <w:noProof/>
          <w:sz w:val="24"/>
        </w:rPr>
      </w:pPr>
      <w:r w:rsidRPr="00177DFC">
        <w:rPr>
          <w:rFonts w:ascii="Times New Roman" w:hAnsi="Times New Roman" w:cs="Times New Roman"/>
          <w:noProof/>
          <w:sz w:val="24"/>
        </w:rPr>
        <w:t xml:space="preserve">Lusi Elviani Rangkuti, Heny Triastuti Kurnianingsih, &amp; Lusi Elviani Rangkuti. (2025). PENGARUH PENERAPAN GREEN ACCOUNTING DAN ENVIRONMENTAL COST TERHADAP PROFITABILITAS PADA PERUSAHAAN PERTAMBANGAN YANG TERDAFTAR DI BURSA EFEK INDONESIA. </w:t>
      </w:r>
      <w:r w:rsidRPr="00177DFC">
        <w:rPr>
          <w:rFonts w:ascii="Times New Roman" w:hAnsi="Times New Roman" w:cs="Times New Roman"/>
          <w:i/>
          <w:iCs/>
          <w:noProof/>
          <w:sz w:val="24"/>
        </w:rPr>
        <w:t>Angewandte Chemie International Edition, 6(11), 951–952.</w:t>
      </w:r>
      <w:r w:rsidRPr="00177DFC">
        <w:rPr>
          <w:rFonts w:ascii="Times New Roman" w:hAnsi="Times New Roman" w:cs="Times New Roman"/>
          <w:noProof/>
          <w:sz w:val="24"/>
        </w:rPr>
        <w:t xml:space="preserve">, </w:t>
      </w:r>
      <w:r w:rsidRPr="00177DFC">
        <w:rPr>
          <w:rFonts w:ascii="Times New Roman" w:hAnsi="Times New Roman" w:cs="Times New Roman"/>
          <w:i/>
          <w:iCs/>
          <w:noProof/>
          <w:sz w:val="24"/>
        </w:rPr>
        <w:t>44</w:t>
      </w:r>
      <w:r w:rsidRPr="00177DFC">
        <w:rPr>
          <w:rFonts w:ascii="Times New Roman" w:hAnsi="Times New Roman" w:cs="Times New Roman"/>
          <w:noProof/>
          <w:sz w:val="24"/>
        </w:rPr>
        <w:t>(October), 68–86.</w:t>
      </w:r>
    </w:p>
    <w:p w14:paraId="04045747" w14:textId="77777777" w:rsidR="00177DFC" w:rsidRPr="00177DFC" w:rsidRDefault="00177DFC" w:rsidP="00177DFC">
      <w:pPr>
        <w:widowControl w:val="0"/>
        <w:autoSpaceDE w:val="0"/>
        <w:autoSpaceDN w:val="0"/>
        <w:adjustRightInd w:val="0"/>
        <w:spacing w:after="0" w:line="360" w:lineRule="auto"/>
        <w:ind w:left="480" w:hanging="480"/>
        <w:rPr>
          <w:rFonts w:ascii="Times New Roman" w:hAnsi="Times New Roman" w:cs="Times New Roman"/>
          <w:noProof/>
          <w:sz w:val="24"/>
        </w:rPr>
      </w:pPr>
      <w:r w:rsidRPr="00177DFC">
        <w:rPr>
          <w:rFonts w:ascii="Times New Roman" w:hAnsi="Times New Roman" w:cs="Times New Roman"/>
          <w:noProof/>
          <w:sz w:val="24"/>
        </w:rPr>
        <w:t xml:space="preserve">Lusiana, P. A., &amp; Mujiyati. (2025). Pengaruh Green Accounting, Kinerja Lingkungan, Biaya Lingkungan, Pengungkapan Corporate Social Responsibility Dan Ukuran Perusahaan Terhadap Profitabilitas. </w:t>
      </w:r>
      <w:r w:rsidRPr="00177DFC">
        <w:rPr>
          <w:rFonts w:ascii="Times New Roman" w:hAnsi="Times New Roman" w:cs="Times New Roman"/>
          <w:i/>
          <w:iCs/>
          <w:noProof/>
          <w:sz w:val="24"/>
        </w:rPr>
        <w:t>Shafin: Sharia Finance and Accounting Journal</w:t>
      </w:r>
      <w:r w:rsidRPr="00177DFC">
        <w:rPr>
          <w:rFonts w:ascii="Times New Roman" w:hAnsi="Times New Roman" w:cs="Times New Roman"/>
          <w:noProof/>
          <w:sz w:val="24"/>
        </w:rPr>
        <w:t xml:space="preserve">, </w:t>
      </w:r>
      <w:r w:rsidRPr="00177DFC">
        <w:rPr>
          <w:rFonts w:ascii="Times New Roman" w:hAnsi="Times New Roman" w:cs="Times New Roman"/>
          <w:i/>
          <w:iCs/>
          <w:noProof/>
          <w:sz w:val="24"/>
        </w:rPr>
        <w:t>5</w:t>
      </w:r>
      <w:r w:rsidRPr="00177DFC">
        <w:rPr>
          <w:rFonts w:ascii="Times New Roman" w:hAnsi="Times New Roman" w:cs="Times New Roman"/>
          <w:noProof/>
          <w:sz w:val="24"/>
        </w:rPr>
        <w:t>(1), 81–95. https://doi.org/10.19105/sfj.v5i1.18385</w:t>
      </w:r>
    </w:p>
    <w:p w14:paraId="3594DECA" w14:textId="77777777" w:rsidR="00177DFC" w:rsidRPr="00177DFC" w:rsidRDefault="00177DFC" w:rsidP="00177DFC">
      <w:pPr>
        <w:widowControl w:val="0"/>
        <w:autoSpaceDE w:val="0"/>
        <w:autoSpaceDN w:val="0"/>
        <w:adjustRightInd w:val="0"/>
        <w:spacing w:after="0" w:line="360" w:lineRule="auto"/>
        <w:ind w:left="480" w:hanging="480"/>
        <w:rPr>
          <w:rFonts w:ascii="Times New Roman" w:hAnsi="Times New Roman" w:cs="Times New Roman"/>
          <w:noProof/>
          <w:sz w:val="24"/>
        </w:rPr>
      </w:pPr>
      <w:r w:rsidRPr="00177DFC">
        <w:rPr>
          <w:rFonts w:ascii="Times New Roman" w:hAnsi="Times New Roman" w:cs="Times New Roman"/>
          <w:noProof/>
          <w:sz w:val="24"/>
        </w:rPr>
        <w:t xml:space="preserve">Mansyur, M., Musa, C. I., &amp; Ramli, A. (2025). PENGARUH PENERAPAN GREEN ACCOUNTING TERHADAP HARGA SAHAM DENGAN PROFITABILITAS SEBAGAI VARIABEL MODERATING PADA PERUSAHAAN FOOD AND BEVERAGES YANG TERDAFTAR DI BURSA EFEK INDONESIA. </w:t>
      </w:r>
      <w:r w:rsidRPr="00177DFC">
        <w:rPr>
          <w:rFonts w:ascii="Times New Roman" w:hAnsi="Times New Roman" w:cs="Times New Roman"/>
          <w:i/>
          <w:iCs/>
          <w:noProof/>
          <w:sz w:val="24"/>
        </w:rPr>
        <w:t>Jurnal Ilmu Manajemen Dan Bisnis</w:t>
      </w:r>
      <w:r w:rsidRPr="00177DFC">
        <w:rPr>
          <w:rFonts w:ascii="Times New Roman" w:hAnsi="Times New Roman" w:cs="Times New Roman"/>
          <w:noProof/>
          <w:sz w:val="24"/>
        </w:rPr>
        <w:t xml:space="preserve">, </w:t>
      </w:r>
      <w:r w:rsidRPr="00177DFC">
        <w:rPr>
          <w:rFonts w:ascii="Times New Roman" w:hAnsi="Times New Roman" w:cs="Times New Roman"/>
          <w:i/>
          <w:iCs/>
          <w:noProof/>
          <w:sz w:val="24"/>
        </w:rPr>
        <w:t>2</w:t>
      </w:r>
      <w:r w:rsidRPr="00177DFC">
        <w:rPr>
          <w:rFonts w:ascii="Times New Roman" w:hAnsi="Times New Roman" w:cs="Times New Roman"/>
          <w:noProof/>
          <w:sz w:val="24"/>
        </w:rPr>
        <w:t>, 87–99.</w:t>
      </w:r>
    </w:p>
    <w:p w14:paraId="2B33B45D" w14:textId="77777777" w:rsidR="00177DFC" w:rsidRPr="00177DFC" w:rsidRDefault="00177DFC" w:rsidP="00177DFC">
      <w:pPr>
        <w:widowControl w:val="0"/>
        <w:autoSpaceDE w:val="0"/>
        <w:autoSpaceDN w:val="0"/>
        <w:adjustRightInd w:val="0"/>
        <w:spacing w:after="0" w:line="360" w:lineRule="auto"/>
        <w:ind w:left="480" w:hanging="480"/>
        <w:rPr>
          <w:rFonts w:ascii="Times New Roman" w:hAnsi="Times New Roman" w:cs="Times New Roman"/>
          <w:noProof/>
          <w:sz w:val="24"/>
        </w:rPr>
      </w:pPr>
      <w:r w:rsidRPr="00177DFC">
        <w:rPr>
          <w:rFonts w:ascii="Times New Roman" w:hAnsi="Times New Roman" w:cs="Times New Roman"/>
          <w:noProof/>
          <w:sz w:val="24"/>
        </w:rPr>
        <w:t xml:space="preserve">Nirawati, L., Samsudin, A., Stifanie, A., Setianingrum, M. D., RyanSyahputra, M., Khrisnawati, N., &amp; Saputri, Y. (2022). Profitabilitas dalam Perusahaan. </w:t>
      </w:r>
      <w:r w:rsidRPr="00177DFC">
        <w:rPr>
          <w:rFonts w:ascii="Times New Roman" w:hAnsi="Times New Roman" w:cs="Times New Roman"/>
          <w:i/>
          <w:iCs/>
          <w:noProof/>
          <w:sz w:val="24"/>
        </w:rPr>
        <w:t>Jurnal Manajemen Dan Bisnis</w:t>
      </w:r>
      <w:r w:rsidRPr="00177DFC">
        <w:rPr>
          <w:rFonts w:ascii="Times New Roman" w:hAnsi="Times New Roman" w:cs="Times New Roman"/>
          <w:noProof/>
          <w:sz w:val="24"/>
        </w:rPr>
        <w:t xml:space="preserve">, </w:t>
      </w:r>
      <w:r w:rsidRPr="00177DFC">
        <w:rPr>
          <w:rFonts w:ascii="Times New Roman" w:hAnsi="Times New Roman" w:cs="Times New Roman"/>
          <w:i/>
          <w:iCs/>
          <w:noProof/>
          <w:sz w:val="24"/>
        </w:rPr>
        <w:t>5</w:t>
      </w:r>
      <w:r w:rsidRPr="00177DFC">
        <w:rPr>
          <w:rFonts w:ascii="Times New Roman" w:hAnsi="Times New Roman" w:cs="Times New Roman"/>
          <w:noProof/>
          <w:sz w:val="24"/>
        </w:rPr>
        <w:t>(1), 60–68.</w:t>
      </w:r>
    </w:p>
    <w:p w14:paraId="799B2A79" w14:textId="77777777" w:rsidR="00177DFC" w:rsidRPr="00177DFC" w:rsidRDefault="00177DFC" w:rsidP="00177DFC">
      <w:pPr>
        <w:widowControl w:val="0"/>
        <w:autoSpaceDE w:val="0"/>
        <w:autoSpaceDN w:val="0"/>
        <w:adjustRightInd w:val="0"/>
        <w:spacing w:after="0" w:line="360" w:lineRule="auto"/>
        <w:ind w:left="480" w:hanging="480"/>
        <w:rPr>
          <w:rFonts w:ascii="Times New Roman" w:hAnsi="Times New Roman" w:cs="Times New Roman"/>
          <w:noProof/>
          <w:sz w:val="24"/>
        </w:rPr>
      </w:pPr>
      <w:r w:rsidRPr="00177DFC">
        <w:rPr>
          <w:rFonts w:ascii="Times New Roman" w:hAnsi="Times New Roman" w:cs="Times New Roman"/>
          <w:noProof/>
          <w:sz w:val="24"/>
        </w:rPr>
        <w:t xml:space="preserve">Okterianda, Y., Pentiana, D., &amp; Nurmala, N. (2025). Pengaruh Green Accounting dan Kinerja Lingkungan Terhadap Profitabilitas Perusahaan Pertambangan di Bursa Efek Indonesia Tahun 2019-2023). </w:t>
      </w:r>
      <w:r w:rsidRPr="00177DFC">
        <w:rPr>
          <w:rFonts w:ascii="Times New Roman" w:hAnsi="Times New Roman" w:cs="Times New Roman"/>
          <w:i/>
          <w:iCs/>
          <w:noProof/>
          <w:sz w:val="24"/>
        </w:rPr>
        <w:t>ECo-Fin</w:t>
      </w:r>
      <w:r w:rsidRPr="00177DFC">
        <w:rPr>
          <w:rFonts w:ascii="Times New Roman" w:hAnsi="Times New Roman" w:cs="Times New Roman"/>
          <w:noProof/>
          <w:sz w:val="24"/>
        </w:rPr>
        <w:t xml:space="preserve">, </w:t>
      </w:r>
      <w:r w:rsidRPr="00177DFC">
        <w:rPr>
          <w:rFonts w:ascii="Times New Roman" w:hAnsi="Times New Roman" w:cs="Times New Roman"/>
          <w:i/>
          <w:iCs/>
          <w:noProof/>
          <w:sz w:val="24"/>
        </w:rPr>
        <w:t>7</w:t>
      </w:r>
      <w:r w:rsidRPr="00177DFC">
        <w:rPr>
          <w:rFonts w:ascii="Times New Roman" w:hAnsi="Times New Roman" w:cs="Times New Roman"/>
          <w:noProof/>
          <w:sz w:val="24"/>
        </w:rPr>
        <w:t>(1), 24–33. https://doi.org/10.32877/ef.v7i1.1705</w:t>
      </w:r>
    </w:p>
    <w:p w14:paraId="50B96A3A" w14:textId="77777777" w:rsidR="00177DFC" w:rsidRPr="00177DFC" w:rsidRDefault="00177DFC" w:rsidP="00177DFC">
      <w:pPr>
        <w:widowControl w:val="0"/>
        <w:autoSpaceDE w:val="0"/>
        <w:autoSpaceDN w:val="0"/>
        <w:adjustRightInd w:val="0"/>
        <w:spacing w:after="0" w:line="360" w:lineRule="auto"/>
        <w:ind w:left="480" w:hanging="480"/>
        <w:rPr>
          <w:rFonts w:ascii="Times New Roman" w:hAnsi="Times New Roman" w:cs="Times New Roman"/>
          <w:noProof/>
          <w:sz w:val="24"/>
        </w:rPr>
      </w:pPr>
      <w:r w:rsidRPr="00177DFC">
        <w:rPr>
          <w:rFonts w:ascii="Times New Roman" w:hAnsi="Times New Roman" w:cs="Times New Roman"/>
          <w:noProof/>
          <w:sz w:val="24"/>
        </w:rPr>
        <w:t xml:space="preserve">Permatasari, A. Y. (2023). PENGARUH PENERAPAN GREEN ACCOUNTING DAN KINERJA LINGKUNGAN TERHADAP PROFITABILITAS PADA PERUSAHAAN </w:t>
      </w:r>
      <w:r w:rsidRPr="00177DFC">
        <w:rPr>
          <w:rFonts w:ascii="Times New Roman" w:hAnsi="Times New Roman" w:cs="Times New Roman"/>
          <w:noProof/>
          <w:sz w:val="24"/>
        </w:rPr>
        <w:lastRenderedPageBreak/>
        <w:t xml:space="preserve">PERTAMBANGAN YANG TERDAFTAR DI BURSA EFEK INDONESIA. </w:t>
      </w:r>
      <w:r w:rsidRPr="00177DFC">
        <w:rPr>
          <w:rFonts w:ascii="Times New Roman" w:hAnsi="Times New Roman" w:cs="Times New Roman"/>
          <w:i/>
          <w:iCs/>
          <w:noProof/>
          <w:sz w:val="24"/>
        </w:rPr>
        <w:t>Gastronomía Ecuatoriana y Turismo Local.</w:t>
      </w:r>
      <w:r w:rsidRPr="00177DFC">
        <w:rPr>
          <w:rFonts w:ascii="Times New Roman" w:hAnsi="Times New Roman" w:cs="Times New Roman"/>
          <w:noProof/>
          <w:sz w:val="24"/>
        </w:rPr>
        <w:t xml:space="preserve">, </w:t>
      </w:r>
      <w:r w:rsidRPr="00177DFC">
        <w:rPr>
          <w:rFonts w:ascii="Times New Roman" w:hAnsi="Times New Roman" w:cs="Times New Roman"/>
          <w:i/>
          <w:iCs/>
          <w:noProof/>
          <w:sz w:val="24"/>
        </w:rPr>
        <w:t>1</w:t>
      </w:r>
      <w:r w:rsidRPr="00177DFC">
        <w:rPr>
          <w:rFonts w:ascii="Times New Roman" w:hAnsi="Times New Roman" w:cs="Times New Roman"/>
          <w:noProof/>
          <w:sz w:val="24"/>
        </w:rPr>
        <w:t>(69), 1–64.</w:t>
      </w:r>
    </w:p>
    <w:p w14:paraId="742D2017" w14:textId="77777777" w:rsidR="00177DFC" w:rsidRPr="00177DFC" w:rsidRDefault="00177DFC" w:rsidP="00177DFC">
      <w:pPr>
        <w:widowControl w:val="0"/>
        <w:autoSpaceDE w:val="0"/>
        <w:autoSpaceDN w:val="0"/>
        <w:adjustRightInd w:val="0"/>
        <w:spacing w:after="0" w:line="360" w:lineRule="auto"/>
        <w:ind w:left="480" w:hanging="480"/>
        <w:rPr>
          <w:rFonts w:ascii="Times New Roman" w:hAnsi="Times New Roman" w:cs="Times New Roman"/>
          <w:noProof/>
          <w:sz w:val="24"/>
        </w:rPr>
      </w:pPr>
      <w:r w:rsidRPr="00177DFC">
        <w:rPr>
          <w:rFonts w:ascii="Times New Roman" w:hAnsi="Times New Roman" w:cs="Times New Roman"/>
          <w:noProof/>
          <w:sz w:val="24"/>
        </w:rPr>
        <w:t xml:space="preserve">Poeja Pramudianti. (2023). </w:t>
      </w:r>
      <w:r w:rsidRPr="00177DFC">
        <w:rPr>
          <w:rFonts w:ascii="Times New Roman" w:hAnsi="Times New Roman" w:cs="Times New Roman"/>
          <w:i/>
          <w:iCs/>
          <w:noProof/>
          <w:sz w:val="24"/>
        </w:rPr>
        <w:t>Pengaruh Pengungkapan Akuntansi Hijau (Green Accounting) Terhadap Profitabilitas Pada Perusahaan Sektor Pertambangan Yang Terdaftar Di Bursa Efek Indonesia Tahun 2019 – 2021 (Studi Konseptual)</w:t>
      </w:r>
      <w:r w:rsidRPr="00177DFC">
        <w:rPr>
          <w:rFonts w:ascii="Times New Roman" w:hAnsi="Times New Roman" w:cs="Times New Roman"/>
          <w:noProof/>
          <w:sz w:val="24"/>
        </w:rPr>
        <w:t xml:space="preserve">. </w:t>
      </w:r>
      <w:r w:rsidRPr="00177DFC">
        <w:rPr>
          <w:rFonts w:ascii="Times New Roman" w:hAnsi="Times New Roman" w:cs="Times New Roman"/>
          <w:i/>
          <w:iCs/>
          <w:noProof/>
          <w:sz w:val="24"/>
        </w:rPr>
        <w:t>4</w:t>
      </w:r>
      <w:r w:rsidRPr="00177DFC">
        <w:rPr>
          <w:rFonts w:ascii="Times New Roman" w:hAnsi="Times New Roman" w:cs="Times New Roman"/>
          <w:noProof/>
          <w:sz w:val="24"/>
        </w:rPr>
        <w:t>(2), 243–253. https://doi.org/10.30640/akuntansi45.v4i2.1841</w:t>
      </w:r>
    </w:p>
    <w:p w14:paraId="0234F737" w14:textId="77777777" w:rsidR="00177DFC" w:rsidRPr="00177DFC" w:rsidRDefault="00177DFC" w:rsidP="00177DFC">
      <w:pPr>
        <w:widowControl w:val="0"/>
        <w:autoSpaceDE w:val="0"/>
        <w:autoSpaceDN w:val="0"/>
        <w:adjustRightInd w:val="0"/>
        <w:spacing w:after="0" w:line="360" w:lineRule="auto"/>
        <w:ind w:left="480" w:hanging="480"/>
        <w:rPr>
          <w:rFonts w:ascii="Times New Roman" w:hAnsi="Times New Roman" w:cs="Times New Roman"/>
          <w:noProof/>
          <w:sz w:val="24"/>
        </w:rPr>
      </w:pPr>
      <w:r w:rsidRPr="00177DFC">
        <w:rPr>
          <w:rFonts w:ascii="Times New Roman" w:hAnsi="Times New Roman" w:cs="Times New Roman"/>
          <w:noProof/>
          <w:sz w:val="24"/>
        </w:rPr>
        <w:t xml:space="preserve">Pratama, D. R., Reptiningsih, E., &amp; Setyaningsih, E. D. (2024). </w:t>
      </w:r>
      <w:r w:rsidRPr="00177DFC">
        <w:rPr>
          <w:rFonts w:ascii="Times New Roman" w:hAnsi="Times New Roman" w:cs="Times New Roman"/>
          <w:i/>
          <w:iCs/>
          <w:noProof/>
          <w:sz w:val="24"/>
        </w:rPr>
        <w:t>Pengaruh Green Accounting , Kinerja Lingkungan , dan Ukuran Perusahaan Terhadap Nilai Perusahaan Pada Perusahaan Sektor Pertambangan Yang Terdaftar Di Bursa Efek Indonesia</w:t>
      </w:r>
      <w:r w:rsidRPr="00177DFC">
        <w:rPr>
          <w:rFonts w:ascii="Times New Roman" w:hAnsi="Times New Roman" w:cs="Times New Roman"/>
          <w:noProof/>
          <w:sz w:val="24"/>
        </w:rPr>
        <w:t xml:space="preserve">. </w:t>
      </w:r>
      <w:r w:rsidRPr="00177DFC">
        <w:rPr>
          <w:rFonts w:ascii="Times New Roman" w:hAnsi="Times New Roman" w:cs="Times New Roman"/>
          <w:i/>
          <w:iCs/>
          <w:noProof/>
          <w:sz w:val="24"/>
        </w:rPr>
        <w:t>4</w:t>
      </w:r>
      <w:r w:rsidRPr="00177DFC">
        <w:rPr>
          <w:rFonts w:ascii="Times New Roman" w:hAnsi="Times New Roman" w:cs="Times New Roman"/>
          <w:noProof/>
          <w:sz w:val="24"/>
        </w:rPr>
        <w:t>(1), 2873–2885.</w:t>
      </w:r>
    </w:p>
    <w:p w14:paraId="44FC98FA" w14:textId="77777777" w:rsidR="00177DFC" w:rsidRPr="00177DFC" w:rsidRDefault="00177DFC" w:rsidP="00177DFC">
      <w:pPr>
        <w:widowControl w:val="0"/>
        <w:autoSpaceDE w:val="0"/>
        <w:autoSpaceDN w:val="0"/>
        <w:adjustRightInd w:val="0"/>
        <w:spacing w:after="0" w:line="360" w:lineRule="auto"/>
        <w:ind w:left="480" w:hanging="480"/>
        <w:rPr>
          <w:rFonts w:ascii="Times New Roman" w:hAnsi="Times New Roman" w:cs="Times New Roman"/>
          <w:noProof/>
          <w:sz w:val="24"/>
        </w:rPr>
      </w:pPr>
      <w:r w:rsidRPr="00177DFC">
        <w:rPr>
          <w:rFonts w:ascii="Times New Roman" w:hAnsi="Times New Roman" w:cs="Times New Roman"/>
          <w:noProof/>
          <w:sz w:val="24"/>
        </w:rPr>
        <w:t xml:space="preserve">Putri, Y. F. U., Eni Indriani, &amp; Hudaya, R. (2024). Analisis Pengaruh Kinerja Lingkungan Dan Biaya Lingkungan Terhadap Nilai Perusahaan Dengan Kinerja Keuangan Sebagai Variabel Intervening. </w:t>
      </w:r>
      <w:r w:rsidRPr="00177DFC">
        <w:rPr>
          <w:rFonts w:ascii="Times New Roman" w:hAnsi="Times New Roman" w:cs="Times New Roman"/>
          <w:i/>
          <w:iCs/>
          <w:noProof/>
          <w:sz w:val="24"/>
        </w:rPr>
        <w:t>INNOVATIVE: Journal Of Social Science Research</w:t>
      </w:r>
      <w:r w:rsidRPr="00177DFC">
        <w:rPr>
          <w:rFonts w:ascii="Times New Roman" w:hAnsi="Times New Roman" w:cs="Times New Roman"/>
          <w:noProof/>
          <w:sz w:val="24"/>
        </w:rPr>
        <w:t xml:space="preserve">, </w:t>
      </w:r>
      <w:r w:rsidRPr="00177DFC">
        <w:rPr>
          <w:rFonts w:ascii="Times New Roman" w:hAnsi="Times New Roman" w:cs="Times New Roman"/>
          <w:i/>
          <w:iCs/>
          <w:noProof/>
          <w:sz w:val="24"/>
        </w:rPr>
        <w:t>4</w:t>
      </w:r>
      <w:r w:rsidRPr="00177DFC">
        <w:rPr>
          <w:rFonts w:ascii="Times New Roman" w:hAnsi="Times New Roman" w:cs="Times New Roman"/>
          <w:noProof/>
          <w:sz w:val="24"/>
        </w:rPr>
        <w:t>(1), 6337–6351. https://pelni.co.id/nilai-perusahaan</w:t>
      </w:r>
    </w:p>
    <w:p w14:paraId="298577CE" w14:textId="77777777" w:rsidR="00177DFC" w:rsidRPr="00177DFC" w:rsidRDefault="00177DFC" w:rsidP="00177DFC">
      <w:pPr>
        <w:widowControl w:val="0"/>
        <w:autoSpaceDE w:val="0"/>
        <w:autoSpaceDN w:val="0"/>
        <w:adjustRightInd w:val="0"/>
        <w:spacing w:after="0" w:line="360" w:lineRule="auto"/>
        <w:ind w:left="480" w:hanging="480"/>
        <w:rPr>
          <w:rFonts w:ascii="Times New Roman" w:hAnsi="Times New Roman" w:cs="Times New Roman"/>
          <w:noProof/>
          <w:sz w:val="24"/>
        </w:rPr>
      </w:pPr>
      <w:r w:rsidRPr="00177DFC">
        <w:rPr>
          <w:rFonts w:ascii="Times New Roman" w:hAnsi="Times New Roman" w:cs="Times New Roman"/>
          <w:noProof/>
          <w:sz w:val="24"/>
        </w:rPr>
        <w:t xml:space="preserve">Rahman, M. J., Rana, T., Zhu, H., Qianqian, T., &amp; Khan, S. H. (2025). Environmental Accounting and Financial Performance. </w:t>
      </w:r>
      <w:r w:rsidRPr="00177DFC">
        <w:rPr>
          <w:rFonts w:ascii="Times New Roman" w:hAnsi="Times New Roman" w:cs="Times New Roman"/>
          <w:i/>
          <w:iCs/>
          <w:noProof/>
          <w:sz w:val="24"/>
        </w:rPr>
        <w:t>Carbon Accounting for Sustainability and Environmental Management</w:t>
      </w:r>
      <w:r w:rsidRPr="00177DFC">
        <w:rPr>
          <w:rFonts w:ascii="Times New Roman" w:hAnsi="Times New Roman" w:cs="Times New Roman"/>
          <w:noProof/>
          <w:sz w:val="24"/>
        </w:rPr>
        <w:t xml:space="preserve">, </w:t>
      </w:r>
      <w:r w:rsidRPr="00177DFC">
        <w:rPr>
          <w:rFonts w:ascii="Times New Roman" w:hAnsi="Times New Roman" w:cs="Times New Roman"/>
          <w:i/>
          <w:iCs/>
          <w:noProof/>
          <w:sz w:val="24"/>
        </w:rPr>
        <w:t>7</w:t>
      </w:r>
      <w:r w:rsidRPr="00177DFC">
        <w:rPr>
          <w:rFonts w:ascii="Times New Roman" w:hAnsi="Times New Roman" w:cs="Times New Roman"/>
          <w:noProof/>
          <w:sz w:val="24"/>
        </w:rPr>
        <w:t>(3), 61–76. https://doi.org/10.4324/9781003488965-5</w:t>
      </w:r>
    </w:p>
    <w:p w14:paraId="0051E12C" w14:textId="77777777" w:rsidR="00177DFC" w:rsidRPr="00177DFC" w:rsidRDefault="00177DFC" w:rsidP="00177DFC">
      <w:pPr>
        <w:widowControl w:val="0"/>
        <w:autoSpaceDE w:val="0"/>
        <w:autoSpaceDN w:val="0"/>
        <w:adjustRightInd w:val="0"/>
        <w:spacing w:after="0" w:line="360" w:lineRule="auto"/>
        <w:ind w:left="480" w:hanging="480"/>
        <w:rPr>
          <w:rFonts w:ascii="Times New Roman" w:hAnsi="Times New Roman" w:cs="Times New Roman"/>
          <w:noProof/>
          <w:sz w:val="24"/>
        </w:rPr>
      </w:pPr>
      <w:r w:rsidRPr="00177DFC">
        <w:rPr>
          <w:rFonts w:ascii="Times New Roman" w:hAnsi="Times New Roman" w:cs="Times New Roman"/>
          <w:noProof/>
          <w:sz w:val="24"/>
        </w:rPr>
        <w:t xml:space="preserve">Rahmatika, Nadia, P., &amp; Yupita, L. (2025). Pengaruh Green Accounting dan Kinerja Lingkungan terhadap Sustainable Development Goals pada Perusahaan Manufaktur Sektor Barang Konsumsi Tahun 2021-2023. </w:t>
      </w:r>
      <w:r w:rsidRPr="00177DFC">
        <w:rPr>
          <w:rFonts w:ascii="Times New Roman" w:hAnsi="Times New Roman" w:cs="Times New Roman"/>
          <w:i/>
          <w:iCs/>
          <w:noProof/>
          <w:sz w:val="24"/>
        </w:rPr>
        <w:t>Jurnal Alwatzikhoebillah : Kajian Islam, Pendidikan, Ekonomi, Humaniora</w:t>
      </w:r>
      <w:r w:rsidRPr="00177DFC">
        <w:rPr>
          <w:rFonts w:ascii="Times New Roman" w:hAnsi="Times New Roman" w:cs="Times New Roman"/>
          <w:noProof/>
          <w:sz w:val="24"/>
        </w:rPr>
        <w:t xml:space="preserve">, </w:t>
      </w:r>
      <w:r w:rsidRPr="00177DFC">
        <w:rPr>
          <w:rFonts w:ascii="Times New Roman" w:hAnsi="Times New Roman" w:cs="Times New Roman"/>
          <w:i/>
          <w:iCs/>
          <w:noProof/>
          <w:sz w:val="24"/>
        </w:rPr>
        <w:t>11</w:t>
      </w:r>
      <w:r w:rsidRPr="00177DFC">
        <w:rPr>
          <w:rFonts w:ascii="Times New Roman" w:hAnsi="Times New Roman" w:cs="Times New Roman"/>
          <w:noProof/>
          <w:sz w:val="24"/>
        </w:rPr>
        <w:t>(1), 292–306. https://doi.org/10.37567/alwatzikhoebillah.v11i1.3636</w:t>
      </w:r>
    </w:p>
    <w:p w14:paraId="60380576" w14:textId="77777777" w:rsidR="00177DFC" w:rsidRPr="00177DFC" w:rsidRDefault="00177DFC" w:rsidP="00177DFC">
      <w:pPr>
        <w:widowControl w:val="0"/>
        <w:autoSpaceDE w:val="0"/>
        <w:autoSpaceDN w:val="0"/>
        <w:adjustRightInd w:val="0"/>
        <w:spacing w:after="0" w:line="360" w:lineRule="auto"/>
        <w:ind w:left="480" w:hanging="480"/>
        <w:rPr>
          <w:rFonts w:ascii="Times New Roman" w:hAnsi="Times New Roman" w:cs="Times New Roman"/>
          <w:noProof/>
          <w:sz w:val="24"/>
        </w:rPr>
      </w:pPr>
      <w:r w:rsidRPr="00177DFC">
        <w:rPr>
          <w:rFonts w:ascii="Times New Roman" w:hAnsi="Times New Roman" w:cs="Times New Roman"/>
          <w:noProof/>
          <w:sz w:val="24"/>
        </w:rPr>
        <w:t xml:space="preserve">Ramly , Yayu, N. F. (2024). Pengaruh Green Accounting dan Corporate Social Responsibility terhadap Profitabilitas. </w:t>
      </w:r>
      <w:r w:rsidRPr="00177DFC">
        <w:rPr>
          <w:rFonts w:ascii="Times New Roman" w:hAnsi="Times New Roman" w:cs="Times New Roman"/>
          <w:i/>
          <w:iCs/>
          <w:noProof/>
          <w:sz w:val="24"/>
        </w:rPr>
        <w:t>Jurnal Ekonomi Akuntansi Dan Manajemen</w:t>
      </w:r>
      <w:r w:rsidRPr="00177DFC">
        <w:rPr>
          <w:rFonts w:ascii="Times New Roman" w:hAnsi="Times New Roman" w:cs="Times New Roman"/>
          <w:noProof/>
          <w:sz w:val="24"/>
        </w:rPr>
        <w:t xml:space="preserve">, </w:t>
      </w:r>
      <w:r w:rsidRPr="00177DFC">
        <w:rPr>
          <w:rFonts w:ascii="Times New Roman" w:hAnsi="Times New Roman" w:cs="Times New Roman"/>
          <w:i/>
          <w:iCs/>
          <w:noProof/>
          <w:sz w:val="24"/>
        </w:rPr>
        <w:t>23</w:t>
      </w:r>
      <w:r w:rsidRPr="00177DFC">
        <w:rPr>
          <w:rFonts w:ascii="Times New Roman" w:hAnsi="Times New Roman" w:cs="Times New Roman"/>
          <w:noProof/>
          <w:sz w:val="24"/>
        </w:rPr>
        <w:t>(1), 54. https://doi.org/10.19184/jeam.v23i1.43456</w:t>
      </w:r>
    </w:p>
    <w:p w14:paraId="60366DB6" w14:textId="77777777" w:rsidR="00177DFC" w:rsidRPr="00177DFC" w:rsidRDefault="00177DFC" w:rsidP="00177DFC">
      <w:pPr>
        <w:widowControl w:val="0"/>
        <w:autoSpaceDE w:val="0"/>
        <w:autoSpaceDN w:val="0"/>
        <w:adjustRightInd w:val="0"/>
        <w:spacing w:after="0" w:line="360" w:lineRule="auto"/>
        <w:ind w:left="480" w:hanging="480"/>
        <w:rPr>
          <w:rFonts w:ascii="Times New Roman" w:hAnsi="Times New Roman" w:cs="Times New Roman"/>
          <w:noProof/>
          <w:sz w:val="24"/>
        </w:rPr>
      </w:pPr>
      <w:r w:rsidRPr="00177DFC">
        <w:rPr>
          <w:rFonts w:ascii="Times New Roman" w:hAnsi="Times New Roman" w:cs="Times New Roman"/>
          <w:noProof/>
          <w:sz w:val="24"/>
        </w:rPr>
        <w:t xml:space="preserve">Riyadi, P. (2024). Analysis of The Implementation of Environmental Costs Case Study at Banjarmasin Islamic Hospital. </w:t>
      </w:r>
      <w:r w:rsidRPr="00177DFC">
        <w:rPr>
          <w:rFonts w:ascii="Times New Roman" w:hAnsi="Times New Roman" w:cs="Times New Roman"/>
          <w:i/>
          <w:iCs/>
          <w:noProof/>
          <w:sz w:val="24"/>
        </w:rPr>
        <w:t>Media Ilmiah Akuntansi</w:t>
      </w:r>
      <w:r w:rsidRPr="00177DFC">
        <w:rPr>
          <w:rFonts w:ascii="Times New Roman" w:hAnsi="Times New Roman" w:cs="Times New Roman"/>
          <w:noProof/>
          <w:sz w:val="24"/>
        </w:rPr>
        <w:t xml:space="preserve">, </w:t>
      </w:r>
      <w:r w:rsidRPr="00177DFC">
        <w:rPr>
          <w:rFonts w:ascii="Times New Roman" w:hAnsi="Times New Roman" w:cs="Times New Roman"/>
          <w:i/>
          <w:iCs/>
          <w:noProof/>
          <w:sz w:val="24"/>
        </w:rPr>
        <w:t>12</w:t>
      </w:r>
      <w:r w:rsidRPr="00177DFC">
        <w:rPr>
          <w:rFonts w:ascii="Times New Roman" w:hAnsi="Times New Roman" w:cs="Times New Roman"/>
          <w:noProof/>
          <w:sz w:val="24"/>
        </w:rPr>
        <w:t>(1), 1–24. https://doi.org/10.34208/mia.v12i1.36</w:t>
      </w:r>
    </w:p>
    <w:p w14:paraId="231BD249" w14:textId="77777777" w:rsidR="00177DFC" w:rsidRPr="00177DFC" w:rsidRDefault="00177DFC" w:rsidP="00177DFC">
      <w:pPr>
        <w:widowControl w:val="0"/>
        <w:autoSpaceDE w:val="0"/>
        <w:autoSpaceDN w:val="0"/>
        <w:adjustRightInd w:val="0"/>
        <w:spacing w:after="0" w:line="360" w:lineRule="auto"/>
        <w:ind w:left="480" w:hanging="480"/>
        <w:rPr>
          <w:rFonts w:ascii="Times New Roman" w:hAnsi="Times New Roman" w:cs="Times New Roman"/>
          <w:noProof/>
          <w:sz w:val="24"/>
        </w:rPr>
      </w:pPr>
      <w:r w:rsidRPr="00177DFC">
        <w:rPr>
          <w:rFonts w:ascii="Times New Roman" w:hAnsi="Times New Roman" w:cs="Times New Roman"/>
          <w:noProof/>
          <w:sz w:val="24"/>
        </w:rPr>
        <w:t xml:space="preserve">Silvia Fitriana, S. I. (2025). The Effect Of Green Accounting And Corporate Social Responsibility On Financial Performance. </w:t>
      </w:r>
      <w:r w:rsidRPr="00177DFC">
        <w:rPr>
          <w:rFonts w:ascii="Times New Roman" w:hAnsi="Times New Roman" w:cs="Times New Roman"/>
          <w:i/>
          <w:iCs/>
          <w:noProof/>
          <w:sz w:val="24"/>
        </w:rPr>
        <w:t>Balance Vocation Accounting Journal</w:t>
      </w:r>
      <w:r w:rsidRPr="00177DFC">
        <w:rPr>
          <w:rFonts w:ascii="Times New Roman" w:hAnsi="Times New Roman" w:cs="Times New Roman"/>
          <w:noProof/>
          <w:sz w:val="24"/>
        </w:rPr>
        <w:t xml:space="preserve">, </w:t>
      </w:r>
      <w:r w:rsidRPr="00177DFC">
        <w:rPr>
          <w:rFonts w:ascii="Times New Roman" w:hAnsi="Times New Roman" w:cs="Times New Roman"/>
          <w:i/>
          <w:iCs/>
          <w:noProof/>
          <w:sz w:val="24"/>
        </w:rPr>
        <w:t>9</w:t>
      </w:r>
      <w:r w:rsidRPr="00177DFC">
        <w:rPr>
          <w:rFonts w:ascii="Times New Roman" w:hAnsi="Times New Roman" w:cs="Times New Roman"/>
          <w:noProof/>
          <w:sz w:val="24"/>
        </w:rPr>
        <w:t>(1), 36. https://doi.org/10.31000/bvaj.v9i1.13892</w:t>
      </w:r>
    </w:p>
    <w:p w14:paraId="7D5EF4F6" w14:textId="77777777" w:rsidR="00177DFC" w:rsidRPr="00177DFC" w:rsidRDefault="00177DFC" w:rsidP="00177DFC">
      <w:pPr>
        <w:widowControl w:val="0"/>
        <w:autoSpaceDE w:val="0"/>
        <w:autoSpaceDN w:val="0"/>
        <w:adjustRightInd w:val="0"/>
        <w:spacing w:after="0" w:line="360" w:lineRule="auto"/>
        <w:ind w:left="480" w:hanging="480"/>
        <w:rPr>
          <w:rFonts w:ascii="Times New Roman" w:hAnsi="Times New Roman" w:cs="Times New Roman"/>
          <w:noProof/>
          <w:sz w:val="24"/>
        </w:rPr>
      </w:pPr>
      <w:r w:rsidRPr="00177DFC">
        <w:rPr>
          <w:rFonts w:ascii="Times New Roman" w:hAnsi="Times New Roman" w:cs="Times New Roman"/>
          <w:noProof/>
          <w:sz w:val="24"/>
        </w:rPr>
        <w:t xml:space="preserve">Talytha Anastasya, Santi Susanti, &amp; Ati Sumiati. (2025). Pengaruh Green Accounting Dan Corporate Social Responsibility Terhadap Profitabilitas Dengan Ukuran Perusahaan Sebagai Variabel Moderasi Pada Perusahaan Sektor Basic Materials Yang Terdaftar Di </w:t>
      </w:r>
      <w:r w:rsidRPr="00177DFC">
        <w:rPr>
          <w:rFonts w:ascii="Times New Roman" w:hAnsi="Times New Roman" w:cs="Times New Roman"/>
          <w:noProof/>
          <w:sz w:val="24"/>
        </w:rPr>
        <w:lastRenderedPageBreak/>
        <w:t xml:space="preserve">Bursa Efek Indonesia Tahun 2023. </w:t>
      </w:r>
      <w:r w:rsidRPr="00177DFC">
        <w:rPr>
          <w:rFonts w:ascii="Times New Roman" w:hAnsi="Times New Roman" w:cs="Times New Roman"/>
          <w:i/>
          <w:iCs/>
          <w:noProof/>
          <w:sz w:val="24"/>
        </w:rPr>
        <w:t>Jurnal Ilmiah Manajemen Dan Akuntansi</w:t>
      </w:r>
      <w:r w:rsidRPr="00177DFC">
        <w:rPr>
          <w:rFonts w:ascii="Times New Roman" w:hAnsi="Times New Roman" w:cs="Times New Roman"/>
          <w:noProof/>
          <w:sz w:val="24"/>
        </w:rPr>
        <w:t xml:space="preserve">, </w:t>
      </w:r>
      <w:r w:rsidRPr="00177DFC">
        <w:rPr>
          <w:rFonts w:ascii="Times New Roman" w:hAnsi="Times New Roman" w:cs="Times New Roman"/>
          <w:i/>
          <w:iCs/>
          <w:noProof/>
          <w:sz w:val="24"/>
        </w:rPr>
        <w:t>2</w:t>
      </w:r>
      <w:r w:rsidRPr="00177DFC">
        <w:rPr>
          <w:rFonts w:ascii="Times New Roman" w:hAnsi="Times New Roman" w:cs="Times New Roman"/>
          <w:noProof/>
          <w:sz w:val="24"/>
        </w:rPr>
        <w:t>(2), 14–27. https://doi.org/10.69714/jkaaej05</w:t>
      </w:r>
    </w:p>
    <w:p w14:paraId="3EE87548" w14:textId="77777777" w:rsidR="00177DFC" w:rsidRPr="00177DFC" w:rsidRDefault="00177DFC" w:rsidP="00177DFC">
      <w:pPr>
        <w:widowControl w:val="0"/>
        <w:autoSpaceDE w:val="0"/>
        <w:autoSpaceDN w:val="0"/>
        <w:adjustRightInd w:val="0"/>
        <w:spacing w:after="0" w:line="360" w:lineRule="auto"/>
        <w:ind w:left="480" w:hanging="480"/>
        <w:rPr>
          <w:rFonts w:ascii="Times New Roman" w:hAnsi="Times New Roman" w:cs="Times New Roman"/>
          <w:noProof/>
          <w:sz w:val="24"/>
        </w:rPr>
      </w:pPr>
      <w:r w:rsidRPr="00177DFC">
        <w:rPr>
          <w:rFonts w:ascii="Times New Roman" w:hAnsi="Times New Roman" w:cs="Times New Roman"/>
          <w:noProof/>
          <w:sz w:val="24"/>
        </w:rPr>
        <w:t xml:space="preserve">Widiastuti, W. D. (2022). </w:t>
      </w:r>
      <w:r w:rsidRPr="00177DFC">
        <w:rPr>
          <w:rFonts w:ascii="Times New Roman" w:hAnsi="Times New Roman" w:cs="Times New Roman"/>
          <w:i/>
          <w:iCs/>
          <w:noProof/>
          <w:sz w:val="24"/>
        </w:rPr>
        <w:t>PENGARUH GREEN ACCOUNTING DAN PROFITABILITAS TERHADAP KINERJA LINGKUNGAN PADA PERUSAHAAN MANUFAKTUR TAHUN 2019-2021</w:t>
      </w:r>
      <w:r w:rsidRPr="00177DFC">
        <w:rPr>
          <w:rFonts w:ascii="Times New Roman" w:hAnsi="Times New Roman" w:cs="Times New Roman"/>
          <w:noProof/>
          <w:sz w:val="24"/>
        </w:rPr>
        <w:t xml:space="preserve">. </w:t>
      </w:r>
      <w:r w:rsidRPr="00177DFC">
        <w:rPr>
          <w:rFonts w:ascii="Times New Roman" w:hAnsi="Times New Roman" w:cs="Times New Roman"/>
          <w:i/>
          <w:iCs/>
          <w:noProof/>
          <w:sz w:val="24"/>
        </w:rPr>
        <w:t>5</w:t>
      </w:r>
      <w:r w:rsidRPr="00177DFC">
        <w:rPr>
          <w:rFonts w:ascii="Times New Roman" w:hAnsi="Times New Roman" w:cs="Times New Roman"/>
          <w:noProof/>
          <w:sz w:val="24"/>
        </w:rPr>
        <w:t>(8.5.2017), 2003–2005.</w:t>
      </w:r>
    </w:p>
    <w:p w14:paraId="76E824FE" w14:textId="77777777" w:rsidR="00177DFC" w:rsidRPr="00177DFC" w:rsidRDefault="00177DFC" w:rsidP="00177DFC">
      <w:pPr>
        <w:widowControl w:val="0"/>
        <w:autoSpaceDE w:val="0"/>
        <w:autoSpaceDN w:val="0"/>
        <w:adjustRightInd w:val="0"/>
        <w:spacing w:after="0" w:line="360" w:lineRule="auto"/>
        <w:ind w:left="480" w:hanging="480"/>
        <w:rPr>
          <w:rFonts w:ascii="Times New Roman" w:hAnsi="Times New Roman" w:cs="Times New Roman"/>
          <w:noProof/>
          <w:sz w:val="24"/>
        </w:rPr>
      </w:pPr>
      <w:r w:rsidRPr="00177DFC">
        <w:rPr>
          <w:rFonts w:ascii="Times New Roman" w:hAnsi="Times New Roman" w:cs="Times New Roman"/>
          <w:noProof/>
          <w:sz w:val="24"/>
        </w:rPr>
        <w:t xml:space="preserve">Yanti, Dadan Ramdhani, M. A. S. (2021). Peran Corporate Social Responsibility, Corporate Governance dan Profitabilitas: Indikasi Penghindaran Pajak Pada Sektor Pertambangan di Indonesia. </w:t>
      </w:r>
      <w:r w:rsidRPr="00177DFC">
        <w:rPr>
          <w:rFonts w:ascii="Times New Roman" w:hAnsi="Times New Roman" w:cs="Times New Roman"/>
          <w:i/>
          <w:iCs/>
          <w:noProof/>
          <w:sz w:val="24"/>
        </w:rPr>
        <w:t>STATERA: Jurnal Akuntansi Dan Keuangan</w:t>
      </w:r>
      <w:r w:rsidRPr="00177DFC">
        <w:rPr>
          <w:rFonts w:ascii="Times New Roman" w:hAnsi="Times New Roman" w:cs="Times New Roman"/>
          <w:noProof/>
          <w:sz w:val="24"/>
        </w:rPr>
        <w:t xml:space="preserve">, </w:t>
      </w:r>
      <w:r w:rsidRPr="00177DFC">
        <w:rPr>
          <w:rFonts w:ascii="Times New Roman" w:hAnsi="Times New Roman" w:cs="Times New Roman"/>
          <w:i/>
          <w:iCs/>
          <w:noProof/>
          <w:sz w:val="24"/>
        </w:rPr>
        <w:t>3</w:t>
      </w:r>
      <w:r w:rsidRPr="00177DFC">
        <w:rPr>
          <w:rFonts w:ascii="Times New Roman" w:hAnsi="Times New Roman" w:cs="Times New Roman"/>
          <w:noProof/>
          <w:sz w:val="24"/>
        </w:rPr>
        <w:t>(1), 65–74. https://doi.org/10.33510/statera.2021.3.1.65-74</w:t>
      </w:r>
    </w:p>
    <w:p w14:paraId="42E01C4F" w14:textId="77777777" w:rsidR="00177DFC" w:rsidRPr="00177DFC" w:rsidRDefault="00177DFC" w:rsidP="00177DFC">
      <w:pPr>
        <w:widowControl w:val="0"/>
        <w:autoSpaceDE w:val="0"/>
        <w:autoSpaceDN w:val="0"/>
        <w:adjustRightInd w:val="0"/>
        <w:spacing w:after="0" w:line="360" w:lineRule="auto"/>
        <w:ind w:left="480" w:hanging="480"/>
        <w:rPr>
          <w:rFonts w:ascii="Times New Roman" w:hAnsi="Times New Roman" w:cs="Times New Roman"/>
          <w:noProof/>
          <w:sz w:val="24"/>
        </w:rPr>
      </w:pPr>
      <w:r w:rsidRPr="00177DFC">
        <w:rPr>
          <w:rFonts w:ascii="Times New Roman" w:hAnsi="Times New Roman" w:cs="Times New Roman"/>
          <w:noProof/>
          <w:sz w:val="24"/>
        </w:rPr>
        <w:t xml:space="preserve">Zulaeha, E., Mareta, S., &amp; Santoso, N. (2025). </w:t>
      </w:r>
      <w:r w:rsidRPr="00177DFC">
        <w:rPr>
          <w:rFonts w:ascii="Times New Roman" w:hAnsi="Times New Roman" w:cs="Times New Roman"/>
          <w:i/>
          <w:iCs/>
          <w:noProof/>
          <w:sz w:val="24"/>
        </w:rPr>
        <w:t>Pengaruh Penerapan Green Accounting , Corporate Social Responsibility dan Good Corporate Governance terhadap Profitabilitas ( Studi pada Perusahaan Sektor Energi yang Terdaftar di BEI Periode 2019-2023 )</w:t>
      </w:r>
      <w:r w:rsidRPr="00177DFC">
        <w:rPr>
          <w:rFonts w:ascii="Times New Roman" w:hAnsi="Times New Roman" w:cs="Times New Roman"/>
          <w:noProof/>
          <w:sz w:val="24"/>
        </w:rPr>
        <w:t xml:space="preserve">. </w:t>
      </w:r>
      <w:r w:rsidRPr="00177DFC">
        <w:rPr>
          <w:rFonts w:ascii="Times New Roman" w:hAnsi="Times New Roman" w:cs="Times New Roman"/>
          <w:i/>
          <w:iCs/>
          <w:noProof/>
          <w:sz w:val="24"/>
        </w:rPr>
        <w:t>6</w:t>
      </w:r>
      <w:r w:rsidRPr="00177DFC">
        <w:rPr>
          <w:rFonts w:ascii="Times New Roman" w:hAnsi="Times New Roman" w:cs="Times New Roman"/>
          <w:noProof/>
          <w:sz w:val="24"/>
        </w:rPr>
        <w:t>(3), 1499–1507.</w:t>
      </w:r>
    </w:p>
    <w:p w14:paraId="7DFA660E" w14:textId="7EA9EFA9" w:rsidR="007266AC" w:rsidRPr="007266AC" w:rsidRDefault="00177DFC" w:rsidP="007266AC">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fldChar w:fldCharType="end"/>
      </w:r>
    </w:p>
    <w:sectPr w:rsidR="007266AC" w:rsidRPr="007266AC">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04B374" w14:textId="77777777" w:rsidR="00EE55BF" w:rsidRDefault="00EE55BF">
      <w:pPr>
        <w:spacing w:line="240" w:lineRule="auto"/>
      </w:pPr>
      <w:r>
        <w:separator/>
      </w:r>
    </w:p>
  </w:endnote>
  <w:endnote w:type="continuationSeparator" w:id="0">
    <w:p w14:paraId="2C0F9CA5" w14:textId="77777777" w:rsidR="00EE55BF" w:rsidRDefault="00EE55B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sto MT">
    <w:panose1 w:val="020406030505050303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1B4D3F" w14:textId="77777777" w:rsidR="00EE55BF" w:rsidRDefault="00EE55BF">
      <w:pPr>
        <w:spacing w:after="0"/>
      </w:pPr>
      <w:r>
        <w:separator/>
      </w:r>
    </w:p>
  </w:footnote>
  <w:footnote w:type="continuationSeparator" w:id="0">
    <w:p w14:paraId="78CDE502" w14:textId="77777777" w:rsidR="00EE55BF" w:rsidRDefault="00EE55BF">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935D5B"/>
    <w:multiLevelType w:val="multilevel"/>
    <w:tmpl w:val="3A935D5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8654101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noPunctuationKerning/>
  <w:characterSpacingControl w:val="doNotCompress"/>
  <w:hdrShapeDefaults>
    <o:shapedefaults v:ext="edit" spidmax="2050" fillcolor="white">
      <v:fill color="white"/>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780"/>
    <w:rsid w:val="00023063"/>
    <w:rsid w:val="000472E5"/>
    <w:rsid w:val="00066030"/>
    <w:rsid w:val="000838BE"/>
    <w:rsid w:val="000846BD"/>
    <w:rsid w:val="000856FE"/>
    <w:rsid w:val="000945A2"/>
    <w:rsid w:val="0009497D"/>
    <w:rsid w:val="000A11B9"/>
    <w:rsid w:val="000A369B"/>
    <w:rsid w:val="000A3A53"/>
    <w:rsid w:val="000A3C1F"/>
    <w:rsid w:val="000A40F4"/>
    <w:rsid w:val="000B2D76"/>
    <w:rsid w:val="000B5B82"/>
    <w:rsid w:val="000C1069"/>
    <w:rsid w:val="000C3E60"/>
    <w:rsid w:val="000C788B"/>
    <w:rsid w:val="000E6A33"/>
    <w:rsid w:val="000F0F10"/>
    <w:rsid w:val="000F3417"/>
    <w:rsid w:val="000F518D"/>
    <w:rsid w:val="000F6712"/>
    <w:rsid w:val="00107DF1"/>
    <w:rsid w:val="00110714"/>
    <w:rsid w:val="00114FE4"/>
    <w:rsid w:val="00122BEA"/>
    <w:rsid w:val="00125CBC"/>
    <w:rsid w:val="001329E4"/>
    <w:rsid w:val="00137DE1"/>
    <w:rsid w:val="00142CFD"/>
    <w:rsid w:val="00146D8F"/>
    <w:rsid w:val="00156392"/>
    <w:rsid w:val="00160228"/>
    <w:rsid w:val="001602E0"/>
    <w:rsid w:val="0016292F"/>
    <w:rsid w:val="00172A27"/>
    <w:rsid w:val="001773E7"/>
    <w:rsid w:val="00177DFC"/>
    <w:rsid w:val="00184E91"/>
    <w:rsid w:val="00185408"/>
    <w:rsid w:val="0019218D"/>
    <w:rsid w:val="00194CFE"/>
    <w:rsid w:val="001A1B88"/>
    <w:rsid w:val="001A362A"/>
    <w:rsid w:val="001A7C70"/>
    <w:rsid w:val="001B0CCB"/>
    <w:rsid w:val="001B735B"/>
    <w:rsid w:val="001C6A25"/>
    <w:rsid w:val="001C6EA3"/>
    <w:rsid w:val="001D0AB1"/>
    <w:rsid w:val="001D266C"/>
    <w:rsid w:val="001D385F"/>
    <w:rsid w:val="001F38A6"/>
    <w:rsid w:val="001F3DE7"/>
    <w:rsid w:val="001F7185"/>
    <w:rsid w:val="00206467"/>
    <w:rsid w:val="00206A6F"/>
    <w:rsid w:val="00212A8E"/>
    <w:rsid w:val="00213D5F"/>
    <w:rsid w:val="0022445D"/>
    <w:rsid w:val="0023057B"/>
    <w:rsid w:val="002307E4"/>
    <w:rsid w:val="002316DF"/>
    <w:rsid w:val="00233980"/>
    <w:rsid w:val="00234108"/>
    <w:rsid w:val="00237320"/>
    <w:rsid w:val="0025133B"/>
    <w:rsid w:val="00252BD9"/>
    <w:rsid w:val="002628B6"/>
    <w:rsid w:val="0027010A"/>
    <w:rsid w:val="002767DD"/>
    <w:rsid w:val="002811E4"/>
    <w:rsid w:val="00285660"/>
    <w:rsid w:val="0028655B"/>
    <w:rsid w:val="00292CFF"/>
    <w:rsid w:val="002A1C72"/>
    <w:rsid w:val="002A4015"/>
    <w:rsid w:val="002B1E23"/>
    <w:rsid w:val="002B7D73"/>
    <w:rsid w:val="002C0574"/>
    <w:rsid w:val="002C09B8"/>
    <w:rsid w:val="002C3BA8"/>
    <w:rsid w:val="002C4D83"/>
    <w:rsid w:val="002D3200"/>
    <w:rsid w:val="002D6EED"/>
    <w:rsid w:val="002D79E4"/>
    <w:rsid w:val="002F619C"/>
    <w:rsid w:val="002F7F2B"/>
    <w:rsid w:val="00301E36"/>
    <w:rsid w:val="00302A84"/>
    <w:rsid w:val="003037E6"/>
    <w:rsid w:val="00310A87"/>
    <w:rsid w:val="00323FF6"/>
    <w:rsid w:val="00325E30"/>
    <w:rsid w:val="00330160"/>
    <w:rsid w:val="00345C9C"/>
    <w:rsid w:val="0035461E"/>
    <w:rsid w:val="003637DB"/>
    <w:rsid w:val="00363F00"/>
    <w:rsid w:val="00365AD4"/>
    <w:rsid w:val="0036773F"/>
    <w:rsid w:val="00374DAE"/>
    <w:rsid w:val="00384051"/>
    <w:rsid w:val="003909BF"/>
    <w:rsid w:val="003A0BF3"/>
    <w:rsid w:val="003A7082"/>
    <w:rsid w:val="003B00B8"/>
    <w:rsid w:val="003B1588"/>
    <w:rsid w:val="003B2D29"/>
    <w:rsid w:val="003C4FF3"/>
    <w:rsid w:val="003C66C9"/>
    <w:rsid w:val="003D2D06"/>
    <w:rsid w:val="003E148D"/>
    <w:rsid w:val="003E428E"/>
    <w:rsid w:val="003E4981"/>
    <w:rsid w:val="003E4A63"/>
    <w:rsid w:val="003F2533"/>
    <w:rsid w:val="003F53B3"/>
    <w:rsid w:val="003F7DF1"/>
    <w:rsid w:val="00437E99"/>
    <w:rsid w:val="0044028B"/>
    <w:rsid w:val="00450108"/>
    <w:rsid w:val="00453153"/>
    <w:rsid w:val="0045473E"/>
    <w:rsid w:val="0045629C"/>
    <w:rsid w:val="0046356D"/>
    <w:rsid w:val="00476DAD"/>
    <w:rsid w:val="00483AF8"/>
    <w:rsid w:val="00484079"/>
    <w:rsid w:val="0048653F"/>
    <w:rsid w:val="00490F38"/>
    <w:rsid w:val="00493955"/>
    <w:rsid w:val="004A3207"/>
    <w:rsid w:val="004B196A"/>
    <w:rsid w:val="004B27B7"/>
    <w:rsid w:val="004B4683"/>
    <w:rsid w:val="004B5E49"/>
    <w:rsid w:val="004D0A0C"/>
    <w:rsid w:val="004D4A63"/>
    <w:rsid w:val="004E430C"/>
    <w:rsid w:val="004E75D8"/>
    <w:rsid w:val="00501021"/>
    <w:rsid w:val="0050150D"/>
    <w:rsid w:val="005021A6"/>
    <w:rsid w:val="00514AC8"/>
    <w:rsid w:val="005203B6"/>
    <w:rsid w:val="00536047"/>
    <w:rsid w:val="00542EC8"/>
    <w:rsid w:val="0055081E"/>
    <w:rsid w:val="0055193F"/>
    <w:rsid w:val="00552582"/>
    <w:rsid w:val="00553DF8"/>
    <w:rsid w:val="0056438D"/>
    <w:rsid w:val="005730D3"/>
    <w:rsid w:val="0057462D"/>
    <w:rsid w:val="005761BB"/>
    <w:rsid w:val="00576F05"/>
    <w:rsid w:val="00581C62"/>
    <w:rsid w:val="00581EFD"/>
    <w:rsid w:val="005827B9"/>
    <w:rsid w:val="005862C1"/>
    <w:rsid w:val="00592607"/>
    <w:rsid w:val="005935F4"/>
    <w:rsid w:val="00593D8D"/>
    <w:rsid w:val="005947D3"/>
    <w:rsid w:val="005A40F5"/>
    <w:rsid w:val="005A76C2"/>
    <w:rsid w:val="005B28D2"/>
    <w:rsid w:val="005B6F84"/>
    <w:rsid w:val="005C76DC"/>
    <w:rsid w:val="005D17EB"/>
    <w:rsid w:val="005D7BFE"/>
    <w:rsid w:val="005E0864"/>
    <w:rsid w:val="005E1632"/>
    <w:rsid w:val="005E3395"/>
    <w:rsid w:val="005F003E"/>
    <w:rsid w:val="005F3FE3"/>
    <w:rsid w:val="005F6158"/>
    <w:rsid w:val="00607B25"/>
    <w:rsid w:val="00611A3E"/>
    <w:rsid w:val="00613AD8"/>
    <w:rsid w:val="0063415A"/>
    <w:rsid w:val="00641B28"/>
    <w:rsid w:val="00643787"/>
    <w:rsid w:val="006461A4"/>
    <w:rsid w:val="00656B47"/>
    <w:rsid w:val="00660AD6"/>
    <w:rsid w:val="00662983"/>
    <w:rsid w:val="00662DAE"/>
    <w:rsid w:val="00670C97"/>
    <w:rsid w:val="00685768"/>
    <w:rsid w:val="00685B3A"/>
    <w:rsid w:val="00692871"/>
    <w:rsid w:val="006A7875"/>
    <w:rsid w:val="006B3094"/>
    <w:rsid w:val="006B3B72"/>
    <w:rsid w:val="006B3F6F"/>
    <w:rsid w:val="006B793E"/>
    <w:rsid w:val="006C07FF"/>
    <w:rsid w:val="006C09C1"/>
    <w:rsid w:val="006C22F8"/>
    <w:rsid w:val="006C6239"/>
    <w:rsid w:val="006D0FAB"/>
    <w:rsid w:val="006D2E32"/>
    <w:rsid w:val="006D76FF"/>
    <w:rsid w:val="006E212F"/>
    <w:rsid w:val="006E6534"/>
    <w:rsid w:val="00704331"/>
    <w:rsid w:val="007146E4"/>
    <w:rsid w:val="00714CB3"/>
    <w:rsid w:val="00716049"/>
    <w:rsid w:val="00724BDB"/>
    <w:rsid w:val="00726432"/>
    <w:rsid w:val="007266AC"/>
    <w:rsid w:val="00742EA8"/>
    <w:rsid w:val="007445AF"/>
    <w:rsid w:val="007447D5"/>
    <w:rsid w:val="00754C9B"/>
    <w:rsid w:val="00755859"/>
    <w:rsid w:val="00756C5D"/>
    <w:rsid w:val="00776AD4"/>
    <w:rsid w:val="00781445"/>
    <w:rsid w:val="00781899"/>
    <w:rsid w:val="007843C5"/>
    <w:rsid w:val="007849F7"/>
    <w:rsid w:val="007A5041"/>
    <w:rsid w:val="007B09DB"/>
    <w:rsid w:val="007B15BE"/>
    <w:rsid w:val="007B61B7"/>
    <w:rsid w:val="007D472A"/>
    <w:rsid w:val="007D6DA0"/>
    <w:rsid w:val="007D7972"/>
    <w:rsid w:val="007F2464"/>
    <w:rsid w:val="007F56FF"/>
    <w:rsid w:val="00800E4E"/>
    <w:rsid w:val="00805604"/>
    <w:rsid w:val="00824101"/>
    <w:rsid w:val="00825425"/>
    <w:rsid w:val="008255DD"/>
    <w:rsid w:val="008328CF"/>
    <w:rsid w:val="00840B59"/>
    <w:rsid w:val="00844EFD"/>
    <w:rsid w:val="00854BF2"/>
    <w:rsid w:val="00872FE7"/>
    <w:rsid w:val="00877585"/>
    <w:rsid w:val="008775EB"/>
    <w:rsid w:val="00882CE7"/>
    <w:rsid w:val="0088679A"/>
    <w:rsid w:val="008879BD"/>
    <w:rsid w:val="00887F76"/>
    <w:rsid w:val="008A2D39"/>
    <w:rsid w:val="008A3E70"/>
    <w:rsid w:val="008B4480"/>
    <w:rsid w:val="008C18FC"/>
    <w:rsid w:val="008C37DE"/>
    <w:rsid w:val="008C46AD"/>
    <w:rsid w:val="008D6DB6"/>
    <w:rsid w:val="008E0DD4"/>
    <w:rsid w:val="008E15EF"/>
    <w:rsid w:val="008E2099"/>
    <w:rsid w:val="008E560A"/>
    <w:rsid w:val="00902B85"/>
    <w:rsid w:val="00912C91"/>
    <w:rsid w:val="00923120"/>
    <w:rsid w:val="009246EE"/>
    <w:rsid w:val="00925193"/>
    <w:rsid w:val="00930ADB"/>
    <w:rsid w:val="00936BD0"/>
    <w:rsid w:val="009423D6"/>
    <w:rsid w:val="0094348B"/>
    <w:rsid w:val="0094766A"/>
    <w:rsid w:val="00960FFD"/>
    <w:rsid w:val="009759DD"/>
    <w:rsid w:val="00975AA1"/>
    <w:rsid w:val="0098159E"/>
    <w:rsid w:val="00982D9A"/>
    <w:rsid w:val="00992F2E"/>
    <w:rsid w:val="009944B5"/>
    <w:rsid w:val="009C05E5"/>
    <w:rsid w:val="009C48A2"/>
    <w:rsid w:val="009E2A5E"/>
    <w:rsid w:val="009E6808"/>
    <w:rsid w:val="009F78BB"/>
    <w:rsid w:val="00A12C81"/>
    <w:rsid w:val="00A13BE2"/>
    <w:rsid w:val="00A2075C"/>
    <w:rsid w:val="00A21062"/>
    <w:rsid w:val="00A36ACB"/>
    <w:rsid w:val="00A571E9"/>
    <w:rsid w:val="00A63259"/>
    <w:rsid w:val="00A72BA2"/>
    <w:rsid w:val="00A73DAA"/>
    <w:rsid w:val="00A8411E"/>
    <w:rsid w:val="00A86623"/>
    <w:rsid w:val="00A86EF6"/>
    <w:rsid w:val="00AA0E3A"/>
    <w:rsid w:val="00AA0F63"/>
    <w:rsid w:val="00AA1B16"/>
    <w:rsid w:val="00AA6713"/>
    <w:rsid w:val="00AB5032"/>
    <w:rsid w:val="00AC2C58"/>
    <w:rsid w:val="00AD62DF"/>
    <w:rsid w:val="00AE0455"/>
    <w:rsid w:val="00AE138F"/>
    <w:rsid w:val="00AE7648"/>
    <w:rsid w:val="00AF3000"/>
    <w:rsid w:val="00B06329"/>
    <w:rsid w:val="00B14222"/>
    <w:rsid w:val="00B24DC4"/>
    <w:rsid w:val="00B2708A"/>
    <w:rsid w:val="00B30F96"/>
    <w:rsid w:val="00B35465"/>
    <w:rsid w:val="00B4140E"/>
    <w:rsid w:val="00B42A59"/>
    <w:rsid w:val="00B505E8"/>
    <w:rsid w:val="00B60EA5"/>
    <w:rsid w:val="00B86634"/>
    <w:rsid w:val="00B86990"/>
    <w:rsid w:val="00BA75C1"/>
    <w:rsid w:val="00BB2CA4"/>
    <w:rsid w:val="00BB5251"/>
    <w:rsid w:val="00BC26BD"/>
    <w:rsid w:val="00BD0795"/>
    <w:rsid w:val="00BD5FF5"/>
    <w:rsid w:val="00BE27C0"/>
    <w:rsid w:val="00BE3900"/>
    <w:rsid w:val="00BE4230"/>
    <w:rsid w:val="00BE6C70"/>
    <w:rsid w:val="00BF22E9"/>
    <w:rsid w:val="00BF53B8"/>
    <w:rsid w:val="00C0408E"/>
    <w:rsid w:val="00C147CA"/>
    <w:rsid w:val="00C24AEE"/>
    <w:rsid w:val="00C31562"/>
    <w:rsid w:val="00C31769"/>
    <w:rsid w:val="00C55B40"/>
    <w:rsid w:val="00C56983"/>
    <w:rsid w:val="00C63859"/>
    <w:rsid w:val="00C800DE"/>
    <w:rsid w:val="00C87243"/>
    <w:rsid w:val="00C962E4"/>
    <w:rsid w:val="00CB3681"/>
    <w:rsid w:val="00CB3729"/>
    <w:rsid w:val="00CD0CF0"/>
    <w:rsid w:val="00CD15F9"/>
    <w:rsid w:val="00CE0856"/>
    <w:rsid w:val="00CE58DC"/>
    <w:rsid w:val="00CE6B5A"/>
    <w:rsid w:val="00CE6B67"/>
    <w:rsid w:val="00D010DC"/>
    <w:rsid w:val="00D02E87"/>
    <w:rsid w:val="00D0496B"/>
    <w:rsid w:val="00D207AF"/>
    <w:rsid w:val="00D2357A"/>
    <w:rsid w:val="00D254E2"/>
    <w:rsid w:val="00D2590B"/>
    <w:rsid w:val="00D37F61"/>
    <w:rsid w:val="00D462D6"/>
    <w:rsid w:val="00D46EC9"/>
    <w:rsid w:val="00D7200A"/>
    <w:rsid w:val="00D75B1B"/>
    <w:rsid w:val="00D75D34"/>
    <w:rsid w:val="00D80087"/>
    <w:rsid w:val="00D87BB1"/>
    <w:rsid w:val="00D9012F"/>
    <w:rsid w:val="00D95B2A"/>
    <w:rsid w:val="00DA23DF"/>
    <w:rsid w:val="00DB0E2E"/>
    <w:rsid w:val="00DB1A3F"/>
    <w:rsid w:val="00DC0F28"/>
    <w:rsid w:val="00DC34EC"/>
    <w:rsid w:val="00DE43A7"/>
    <w:rsid w:val="00DE7997"/>
    <w:rsid w:val="00E013C8"/>
    <w:rsid w:val="00E05D9C"/>
    <w:rsid w:val="00E16AC3"/>
    <w:rsid w:val="00E17B55"/>
    <w:rsid w:val="00E27090"/>
    <w:rsid w:val="00E27581"/>
    <w:rsid w:val="00E35A27"/>
    <w:rsid w:val="00E445D0"/>
    <w:rsid w:val="00E50B35"/>
    <w:rsid w:val="00E67227"/>
    <w:rsid w:val="00E67485"/>
    <w:rsid w:val="00E71222"/>
    <w:rsid w:val="00E71C6E"/>
    <w:rsid w:val="00E73AFC"/>
    <w:rsid w:val="00E747C5"/>
    <w:rsid w:val="00E76958"/>
    <w:rsid w:val="00E83C9F"/>
    <w:rsid w:val="00E83DF4"/>
    <w:rsid w:val="00E86782"/>
    <w:rsid w:val="00E91496"/>
    <w:rsid w:val="00E91530"/>
    <w:rsid w:val="00E97BA9"/>
    <w:rsid w:val="00E97EB8"/>
    <w:rsid w:val="00EA054E"/>
    <w:rsid w:val="00EA4B5C"/>
    <w:rsid w:val="00EB19D0"/>
    <w:rsid w:val="00EB3707"/>
    <w:rsid w:val="00EB37CB"/>
    <w:rsid w:val="00EC6B60"/>
    <w:rsid w:val="00ED32A5"/>
    <w:rsid w:val="00EE55BF"/>
    <w:rsid w:val="00EF502C"/>
    <w:rsid w:val="00F02367"/>
    <w:rsid w:val="00F07B55"/>
    <w:rsid w:val="00F10FC5"/>
    <w:rsid w:val="00F12B21"/>
    <w:rsid w:val="00F20962"/>
    <w:rsid w:val="00F24EE8"/>
    <w:rsid w:val="00F26C7A"/>
    <w:rsid w:val="00F33549"/>
    <w:rsid w:val="00F35F86"/>
    <w:rsid w:val="00F42788"/>
    <w:rsid w:val="00F44CCA"/>
    <w:rsid w:val="00F547D1"/>
    <w:rsid w:val="00F55E6D"/>
    <w:rsid w:val="00F55FDE"/>
    <w:rsid w:val="00F57BF5"/>
    <w:rsid w:val="00F60001"/>
    <w:rsid w:val="00F63A17"/>
    <w:rsid w:val="00F70F05"/>
    <w:rsid w:val="00F802BD"/>
    <w:rsid w:val="00F81363"/>
    <w:rsid w:val="00F816FC"/>
    <w:rsid w:val="00F90264"/>
    <w:rsid w:val="00F90776"/>
    <w:rsid w:val="00F9439C"/>
    <w:rsid w:val="00F94926"/>
    <w:rsid w:val="00FA2EA0"/>
    <w:rsid w:val="00FB0B55"/>
    <w:rsid w:val="00FB0D6E"/>
    <w:rsid w:val="00FB5015"/>
    <w:rsid w:val="00FB6381"/>
    <w:rsid w:val="00FC4BC9"/>
    <w:rsid w:val="00FC7C78"/>
    <w:rsid w:val="00FD08F4"/>
    <w:rsid w:val="00FD0925"/>
    <w:rsid w:val="00FD1AB5"/>
    <w:rsid w:val="00FD6879"/>
    <w:rsid w:val="00FD7D04"/>
    <w:rsid w:val="00FE7004"/>
    <w:rsid w:val="00FF0FEE"/>
    <w:rsid w:val="00FF103C"/>
    <w:rsid w:val="00FF1160"/>
    <w:rsid w:val="053F2AB8"/>
    <w:rsid w:val="088C6C72"/>
    <w:rsid w:val="0CE00F0A"/>
    <w:rsid w:val="156F79F7"/>
    <w:rsid w:val="1B154CAF"/>
    <w:rsid w:val="23FD2F19"/>
    <w:rsid w:val="288354BA"/>
    <w:rsid w:val="2AA57065"/>
    <w:rsid w:val="35893F15"/>
    <w:rsid w:val="3DEA5A40"/>
    <w:rsid w:val="42CB68C1"/>
    <w:rsid w:val="44A50D1D"/>
    <w:rsid w:val="4E0109A3"/>
    <w:rsid w:val="502770C7"/>
    <w:rsid w:val="56A6643E"/>
    <w:rsid w:val="5CB64CC6"/>
    <w:rsid w:val="5EA32E53"/>
    <w:rsid w:val="69095BA6"/>
    <w:rsid w:val="6DEE48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42EB51A3"/>
  <w15:docId w15:val="{6182BEAD-F9DB-4D3D-82CE-05180532A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id-ID" w:eastAsia="id-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Calibri" w:eastAsia="Calibri" w:hAnsi="Calibri" w:cs="Calibri"/>
      <w:sz w:val="22"/>
      <w:szCs w:val="22"/>
      <w:lang w:eastAsia="en-US"/>
    </w:rPr>
  </w:style>
  <w:style w:type="paragraph" w:styleId="Heading1">
    <w:name w:val="heading 1"/>
    <w:basedOn w:val="Normal"/>
    <w:uiPriority w:val="9"/>
    <w:qFormat/>
    <w:pPr>
      <w:keepNext/>
      <w:keepLines/>
      <w:spacing w:before="480" w:after="120"/>
      <w:outlineLvl w:val="0"/>
    </w:pPr>
    <w:rPr>
      <w:b/>
      <w:sz w:val="48"/>
      <w:szCs w:val="48"/>
    </w:rPr>
  </w:style>
  <w:style w:type="paragraph" w:styleId="Heading2">
    <w:name w:val="heading 2"/>
    <w:basedOn w:val="Normal"/>
    <w:uiPriority w:val="9"/>
    <w:semiHidden/>
    <w:unhideWhenUsed/>
    <w:qFormat/>
    <w:pPr>
      <w:keepNext/>
      <w:keepLines/>
      <w:spacing w:before="360" w:after="80"/>
      <w:outlineLvl w:val="1"/>
    </w:pPr>
    <w:rPr>
      <w:b/>
      <w:sz w:val="36"/>
      <w:szCs w:val="36"/>
    </w:rPr>
  </w:style>
  <w:style w:type="paragraph" w:styleId="Heading3">
    <w:name w:val="heading 3"/>
    <w:basedOn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character" w:styleId="Emphasis">
    <w:name w:val="Emphasis"/>
    <w:basedOn w:val="DefaultParagraphFont"/>
    <w:uiPriority w:val="20"/>
    <w:qFormat/>
    <w:rPr>
      <w:i/>
      <w:iCs/>
    </w:rPr>
  </w:style>
  <w:style w:type="character" w:styleId="FollowedHyperlink">
    <w:name w:val="FollowedHyperlink"/>
    <w:basedOn w:val="DefaultParagraphFont"/>
    <w:uiPriority w:val="99"/>
    <w:semiHidden/>
    <w:unhideWhenUsed/>
    <w:qFormat/>
    <w:rPr>
      <w:color w:val="800080" w:themeColor="followedHyperlink"/>
      <w:u w:val="single"/>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character" w:styleId="Hyperlink">
    <w:name w:val="Hyperlink"/>
    <w:basedOn w:val="DefaultParagraphFont"/>
    <w:unhideWhenUsed/>
    <w:qFormat/>
    <w:rPr>
      <w:color w:val="0000FF"/>
      <w:u w:val="single"/>
    </w:rPr>
  </w:style>
  <w:style w:type="paragraph" w:styleId="NormalWeb">
    <w:name w:val="Normal (Web)"/>
    <w:basedOn w:val="Normal"/>
    <w:uiPriority w:val="99"/>
    <w:semiHidden/>
    <w:unhideWhenUsed/>
    <w:qFormat/>
    <w:rPr>
      <w:rFonts w:ascii="Times New Roman" w:hAnsi="Times New Roman" w:cs="Times New Roman"/>
      <w:sz w:val="24"/>
      <w:szCs w:val="24"/>
    </w:rPr>
  </w:style>
  <w:style w:type="character" w:styleId="Strong">
    <w:name w:val="Strong"/>
    <w:basedOn w:val="DefaultParagraphFont"/>
    <w:uiPriority w:val="22"/>
    <w:qFormat/>
    <w:rPr>
      <w:b/>
      <w:bC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styleId="TableGrid">
    <w:name w:val="Table Grid"/>
    <w:basedOn w:val="TableNormal"/>
    <w:qFormat/>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pPr>
      <w:ind w:left="720"/>
      <w:contextualSpacing/>
    </w:pPr>
  </w:style>
  <w:style w:type="character" w:customStyle="1" w:styleId="BalloonTextChar">
    <w:name w:val="Balloon Text Char"/>
    <w:basedOn w:val="DefaultParagraphFont"/>
    <w:link w:val="BalloonText"/>
    <w:uiPriority w:val="99"/>
    <w:semiHidden/>
    <w:qFormat/>
    <w:rPr>
      <w:rFonts w:ascii="Tahoma" w:hAnsi="Tahoma" w:cs="Tahoma"/>
      <w:sz w:val="16"/>
      <w:szCs w:val="16"/>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paragraph" w:customStyle="1" w:styleId="Bibliography1">
    <w:name w:val="Bibliography1"/>
    <w:basedOn w:val="Normal"/>
    <w:next w:val="Normal"/>
    <w:uiPriority w:val="37"/>
    <w:unhideWhenUsed/>
    <w:qFormat/>
  </w:style>
  <w:style w:type="table" w:customStyle="1" w:styleId="Style22">
    <w:name w:val="_Style 22"/>
    <w:basedOn w:val="TableNormal"/>
    <w:qFormat/>
    <w:tbl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styleId="NoSpacing">
    <w:name w:val="No Spacing"/>
    <w:uiPriority w:val="1"/>
    <w:qFormat/>
    <w:rPr>
      <w:rFonts w:ascii="Calibri" w:eastAsia="Calibri" w:hAnsi="Calibri" w:cs="Calibri"/>
      <w:sz w:val="22"/>
      <w:szCs w:val="22"/>
      <w:lang w:eastAsia="en-US"/>
    </w:rPr>
  </w:style>
  <w:style w:type="character" w:customStyle="1" w:styleId="UnresolvedMention2">
    <w:name w:val="Unresolved Mention2"/>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Yanti@ubpkarawang.ac.id"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k21.anggihimawan@mhs.ubpkarawang.ac.id"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go:gDocsCustomXmlDataStorage xmlns:go="http://customooxmlschemas.google.com/" xmlns:r="http://schemas.openxmlformats.org/officeDocument/2006/relationships">
  <go:docsCustomData xmlns:go="http://customooxmlschemas.google.com/" roundtripDataSignature="AMtx7mimmLRDi9v4xhXTAJKTo1Nd+1NLiw==">AMUW2mUP8W4dJh1kL5YLTVBIosW+6Kn4q6LTajtyGN6D4uTBWProjdiVA6Lm96BAj3bCFUSJ3y5jVRci52WAbCR/WZ9Ip8HoicxIaibbW9MN9/BcrXV+VMM=</go:docsCustomData>
</go:gDocsCustomXmlDataStorage>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5AD19EF9-3E36-4BAB-BB36-1CBDCE9A2B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21</Pages>
  <Words>19512</Words>
  <Characters>111222</Characters>
  <Application>Microsoft Office Word</Application>
  <DocSecurity>0</DocSecurity>
  <Lines>926</Lines>
  <Paragraphs>260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Windows User</cp:lastModifiedBy>
  <cp:revision>4</cp:revision>
  <cp:lastPrinted>2025-10-14T21:17:00Z</cp:lastPrinted>
  <dcterms:created xsi:type="dcterms:W3CDTF">2025-10-15T01:51:00Z</dcterms:created>
  <dcterms:modified xsi:type="dcterms:W3CDTF">2025-10-17T04:15:00Z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6th/7th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4th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c81984db-598a-373a-bdcd-340ba7c70da6</vt:lpwstr>
  </property>
  <property fmtid="{D5CDD505-2E9C-101B-9397-08002B2CF9AE}" pid="24" name="Mendeley Citation Style_1">
    <vt:lpwstr>http://www.zotero.org/styles/apa</vt:lpwstr>
  </property>
  <property fmtid="{D5CDD505-2E9C-101B-9397-08002B2CF9AE}" pid="25" name="KSOProductBuildVer">
    <vt:lpwstr>1057-12.2.0.21931</vt:lpwstr>
  </property>
  <property fmtid="{D5CDD505-2E9C-101B-9397-08002B2CF9AE}" pid="26" name="ICV">
    <vt:lpwstr>A883F7A9A3FD411291F92B6BF8DC5AB3_13</vt:lpwstr>
  </property>
  <property fmtid="{D5CDD505-2E9C-101B-9397-08002B2CF9AE}" pid="27" name="_DocHome">
    <vt:i4>468893605</vt:i4>
  </property>
</Properties>
</file>