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1C20" w14:textId="664B7102" w:rsidR="00D23798" w:rsidRDefault="00346220">
      <w:pPr>
        <w:pBdr>
          <w:top w:val="nil"/>
          <w:left w:val="nil"/>
          <w:bottom w:val="nil"/>
          <w:right w:val="nil"/>
          <w:between w:val="nil"/>
        </w:pBdr>
        <w:spacing w:line="276" w:lineRule="auto"/>
        <w:ind w:left="180"/>
        <w:jc w:val="center"/>
        <w:rPr>
          <w:b/>
          <w:i/>
          <w:color w:val="000000"/>
          <w:sz w:val="28"/>
          <w:szCs w:val="28"/>
        </w:rPr>
      </w:pPr>
      <w:r w:rsidRPr="00346220">
        <w:rPr>
          <w:b/>
          <w:color w:val="000000"/>
          <w:sz w:val="28"/>
          <w:szCs w:val="28"/>
        </w:rPr>
        <w:t>PENGARUH CURRENT RATIO</w:t>
      </w:r>
      <w:r>
        <w:rPr>
          <w:b/>
          <w:color w:val="000000"/>
          <w:sz w:val="28"/>
          <w:szCs w:val="28"/>
          <w:lang w:val="en-US"/>
        </w:rPr>
        <w:t xml:space="preserve">, </w:t>
      </w:r>
      <w:r w:rsidRPr="00346220">
        <w:rPr>
          <w:b/>
          <w:color w:val="000000"/>
          <w:sz w:val="28"/>
          <w:szCs w:val="28"/>
        </w:rPr>
        <w:t>DEBT TO ASSET RATIO DAN TOTAL ASSET TURN OVER</w:t>
      </w:r>
      <w:r>
        <w:rPr>
          <w:b/>
          <w:color w:val="000000"/>
          <w:sz w:val="28"/>
          <w:szCs w:val="28"/>
          <w:lang w:val="en-US"/>
        </w:rPr>
        <w:t xml:space="preserve"> </w:t>
      </w:r>
      <w:r w:rsidRPr="00346220">
        <w:rPr>
          <w:b/>
          <w:color w:val="000000"/>
          <w:sz w:val="28"/>
          <w:szCs w:val="28"/>
        </w:rPr>
        <w:t>TERHADAP NET PROFIT MARGIN</w:t>
      </w:r>
    </w:p>
    <w:p w14:paraId="70A3BEE1" w14:textId="77777777" w:rsidR="00D23798" w:rsidRDefault="00D23798">
      <w:pPr>
        <w:spacing w:line="276" w:lineRule="auto"/>
        <w:ind w:left="180"/>
        <w:jc w:val="center"/>
        <w:rPr>
          <w:b/>
        </w:rPr>
      </w:pPr>
    </w:p>
    <w:p w14:paraId="54DEB3F9" w14:textId="77777777" w:rsidR="00D23798" w:rsidRDefault="00D23798">
      <w:pPr>
        <w:spacing w:line="276" w:lineRule="auto"/>
        <w:ind w:left="180"/>
        <w:jc w:val="center"/>
        <w:rPr>
          <w:b/>
        </w:rPr>
      </w:pPr>
    </w:p>
    <w:p w14:paraId="24453E62" w14:textId="77777777" w:rsidR="00346220" w:rsidRPr="00346220" w:rsidRDefault="00346220" w:rsidP="00346220">
      <w:pPr>
        <w:ind w:left="180"/>
        <w:jc w:val="center"/>
        <w:rPr>
          <w:b/>
        </w:rPr>
      </w:pPr>
      <w:r w:rsidRPr="00346220">
        <w:rPr>
          <w:b/>
        </w:rPr>
        <w:t>Sabar Pardamean Lumbantobing</w:t>
      </w:r>
      <w:r w:rsidRPr="00346220">
        <w:rPr>
          <w:b/>
          <w:vertAlign w:val="superscript"/>
        </w:rPr>
        <w:t xml:space="preserve"> 1</w:t>
      </w:r>
      <w:r w:rsidRPr="00346220">
        <w:rPr>
          <w:b/>
        </w:rPr>
        <w:t xml:space="preserve">, Yudhistira Adwimurti </w:t>
      </w:r>
      <w:r w:rsidRPr="00346220">
        <w:rPr>
          <w:b/>
          <w:vertAlign w:val="superscript"/>
        </w:rPr>
        <w:t>2</w:t>
      </w:r>
    </w:p>
    <w:p w14:paraId="0F7700C2" w14:textId="77777777" w:rsidR="00346220" w:rsidRPr="00346220" w:rsidRDefault="00346220" w:rsidP="00346220">
      <w:pPr>
        <w:ind w:left="180"/>
        <w:jc w:val="center"/>
        <w:rPr>
          <w:b/>
        </w:rPr>
      </w:pPr>
    </w:p>
    <w:p w14:paraId="6364CD12" w14:textId="0C98F9A3" w:rsidR="00346220" w:rsidRPr="00346220" w:rsidRDefault="00346220" w:rsidP="00346220">
      <w:pPr>
        <w:ind w:left="180"/>
        <w:jc w:val="center"/>
        <w:rPr>
          <w:b/>
        </w:rPr>
      </w:pPr>
      <w:r w:rsidRPr="00346220">
        <w:rPr>
          <w:b/>
          <w:vertAlign w:val="superscript"/>
          <w:lang w:val="en-US"/>
        </w:rPr>
        <w:t>1</w:t>
      </w:r>
      <w:r w:rsidRPr="00346220">
        <w:rPr>
          <w:b/>
        </w:rPr>
        <w:t>Universitas IPWIJA, Jakarta</w:t>
      </w:r>
    </w:p>
    <w:p w14:paraId="2D1C0707" w14:textId="63AD9F94" w:rsidR="00346220" w:rsidRPr="00346220" w:rsidRDefault="00346220" w:rsidP="00346220">
      <w:pPr>
        <w:ind w:left="180"/>
        <w:jc w:val="center"/>
        <w:rPr>
          <w:b/>
        </w:rPr>
      </w:pPr>
      <w:r w:rsidRPr="00346220">
        <w:rPr>
          <w:b/>
          <w:vertAlign w:val="superscript"/>
          <w:lang w:val="en-US"/>
        </w:rPr>
        <w:t>2</w:t>
      </w:r>
      <w:r w:rsidRPr="00346220">
        <w:rPr>
          <w:b/>
        </w:rPr>
        <w:t>Universitas Prof. Dr. Moestopo (Beragama), Jakarta</w:t>
      </w:r>
    </w:p>
    <w:p w14:paraId="0C325862" w14:textId="24044CE8" w:rsidR="00D23798" w:rsidRDefault="00346220" w:rsidP="00346220">
      <w:pPr>
        <w:ind w:left="180"/>
        <w:jc w:val="center"/>
        <w:rPr>
          <w:b/>
        </w:rPr>
      </w:pPr>
      <w:r w:rsidRPr="00346220">
        <w:rPr>
          <w:b/>
          <w:vertAlign w:val="superscript"/>
        </w:rPr>
        <w:t>1</w:t>
      </w:r>
      <w:r w:rsidRPr="00346220">
        <w:rPr>
          <w:b/>
        </w:rPr>
        <w:t xml:space="preserve">Email Korespondensi: </w:t>
      </w:r>
      <w:hyperlink r:id="rId8" w:history="1">
        <w:r w:rsidRPr="00D035F7">
          <w:rPr>
            <w:rStyle w:val="Hyperlink"/>
            <w:b/>
          </w:rPr>
          <w:t>Sabartobing@ipwija.ac.id</w:t>
        </w:r>
      </w:hyperlink>
    </w:p>
    <w:p w14:paraId="260BF1C0" w14:textId="77777777" w:rsidR="00D23798" w:rsidRDefault="00D23798">
      <w:pPr>
        <w:spacing w:line="276" w:lineRule="auto"/>
        <w:ind w:left="180"/>
        <w:jc w:val="center"/>
        <w:rPr>
          <w:b/>
          <w:sz w:val="20"/>
          <w:szCs w:val="20"/>
        </w:rPr>
      </w:pPr>
    </w:p>
    <w:p w14:paraId="599DE818" w14:textId="77777777" w:rsidR="00346220" w:rsidRDefault="00346220">
      <w:pPr>
        <w:spacing w:line="276" w:lineRule="auto"/>
        <w:ind w:left="180"/>
        <w:jc w:val="center"/>
        <w:rPr>
          <w:b/>
          <w:sz w:val="20"/>
          <w:szCs w:val="20"/>
        </w:rPr>
      </w:pPr>
    </w:p>
    <w:p w14:paraId="334609F9" w14:textId="4E440AAC" w:rsidR="00D23798" w:rsidRPr="00346220" w:rsidRDefault="00000000">
      <w:pPr>
        <w:pBdr>
          <w:top w:val="nil"/>
          <w:left w:val="nil"/>
          <w:bottom w:val="nil"/>
          <w:right w:val="nil"/>
          <w:between w:val="nil"/>
        </w:pBdr>
        <w:ind w:left="180"/>
        <w:rPr>
          <w:b/>
          <w:i/>
          <w:color w:val="000000"/>
          <w:sz w:val="22"/>
          <w:szCs w:val="22"/>
          <w:lang w:val="en-US"/>
        </w:rPr>
      </w:pPr>
      <w:r>
        <w:rPr>
          <w:b/>
          <w:i/>
          <w:color w:val="000000"/>
          <w:sz w:val="22"/>
          <w:szCs w:val="22"/>
        </w:rPr>
        <w:t>ABSTRACT</w:t>
      </w:r>
    </w:p>
    <w:p w14:paraId="0427711C" w14:textId="5CA29895" w:rsidR="00346220" w:rsidRPr="00346220" w:rsidRDefault="00346220" w:rsidP="00346220">
      <w:pPr>
        <w:pBdr>
          <w:top w:val="nil"/>
          <w:left w:val="nil"/>
          <w:bottom w:val="nil"/>
          <w:right w:val="nil"/>
          <w:between w:val="nil"/>
        </w:pBdr>
        <w:ind w:left="180"/>
        <w:jc w:val="both"/>
        <w:rPr>
          <w:i/>
          <w:color w:val="000000"/>
          <w:sz w:val="22"/>
          <w:szCs w:val="22"/>
        </w:rPr>
      </w:pPr>
      <w:r w:rsidRPr="00346220">
        <w:rPr>
          <w:i/>
          <w:color w:val="000000"/>
          <w:sz w:val="22"/>
          <w:szCs w:val="22"/>
        </w:rPr>
        <w:t>This research investigates the impact of financial ratios, including Current Ratio (CR), Debt to Asset Ratio (DAR), and Total Asset Turn Over (TATO), on Net Profit Margin (NPM) in mining companies listed on the Indonesia Stock Exchange for the period 2017-2021. The study aims to assess both the individual and collective influence of these financial indicators on the NPM of the selected companies. Data for the analysis were sourced from www.hots.mirraeasset.co.id, with a total population of 49 companies. However, only 31 companies met the specified sample criteria.</w:t>
      </w:r>
      <w:r w:rsidR="004A6735">
        <w:rPr>
          <w:i/>
          <w:color w:val="000000"/>
          <w:sz w:val="22"/>
          <w:szCs w:val="22"/>
          <w:lang w:val="en-US"/>
        </w:rPr>
        <w:t xml:space="preserve"> </w:t>
      </w:r>
      <w:r w:rsidRPr="00346220">
        <w:rPr>
          <w:i/>
          <w:color w:val="000000"/>
          <w:sz w:val="22"/>
          <w:szCs w:val="22"/>
        </w:rPr>
        <w:t>The research employs a multiple linear regression technique, facilitated by the SPSS version 25.0 application. The findings reveal that, individually, the Current Ratio has no significant impact on the Net Profit Margin, while the Debt to Asset Ratio exhibits a significant influence. On the other hand, Total Asset Turn Over has no significant effect on the Net Profit Margin when considered individually. Nevertheless, when assessed collectively, the Current Ratio, Debt to Asset Ratio, and Total Asset Turn Over jointly demonstrate a significant impact on the Net Profit Margin. It is noteworthy that, among these variables, none establishes a close relationship with the Net Profit Margin.</w:t>
      </w:r>
    </w:p>
    <w:p w14:paraId="782AEDA0" w14:textId="77777777" w:rsidR="00346220" w:rsidRPr="00346220" w:rsidRDefault="00346220" w:rsidP="00346220">
      <w:pPr>
        <w:pBdr>
          <w:top w:val="nil"/>
          <w:left w:val="nil"/>
          <w:bottom w:val="nil"/>
          <w:right w:val="nil"/>
          <w:between w:val="nil"/>
        </w:pBdr>
        <w:ind w:left="180"/>
        <w:jc w:val="both"/>
        <w:rPr>
          <w:i/>
          <w:color w:val="000000"/>
          <w:sz w:val="22"/>
          <w:szCs w:val="22"/>
        </w:rPr>
      </w:pPr>
    </w:p>
    <w:p w14:paraId="1B6EF0F3" w14:textId="11D3AD05" w:rsidR="00D23798" w:rsidRDefault="00346220" w:rsidP="00346220">
      <w:pPr>
        <w:pBdr>
          <w:top w:val="nil"/>
          <w:left w:val="nil"/>
          <w:bottom w:val="nil"/>
          <w:right w:val="nil"/>
          <w:between w:val="nil"/>
        </w:pBdr>
        <w:ind w:left="180"/>
        <w:jc w:val="both"/>
        <w:rPr>
          <w:b/>
          <w:i/>
          <w:color w:val="000000"/>
          <w:sz w:val="22"/>
          <w:szCs w:val="22"/>
        </w:rPr>
      </w:pPr>
      <w:r w:rsidRPr="00346220">
        <w:rPr>
          <w:b/>
          <w:bCs/>
          <w:i/>
          <w:color w:val="000000"/>
          <w:sz w:val="22"/>
          <w:szCs w:val="22"/>
        </w:rPr>
        <w:t>Keywords</w:t>
      </w:r>
      <w:r w:rsidRPr="00346220">
        <w:rPr>
          <w:i/>
          <w:color w:val="000000"/>
          <w:sz w:val="22"/>
          <w:szCs w:val="22"/>
        </w:rPr>
        <w:t xml:space="preserve">: </w:t>
      </w:r>
      <w:r>
        <w:rPr>
          <w:i/>
          <w:color w:val="000000"/>
          <w:sz w:val="22"/>
          <w:szCs w:val="22"/>
          <w:lang w:val="en-US"/>
        </w:rPr>
        <w:t xml:space="preserve">Financial Ratio, </w:t>
      </w:r>
      <w:r w:rsidRPr="00346220">
        <w:rPr>
          <w:i/>
          <w:color w:val="000000"/>
          <w:sz w:val="22"/>
          <w:szCs w:val="22"/>
        </w:rPr>
        <w:t>Current Ratio, Debt to Asset Ratio, Total Asset Turn Over, Net Profit Margin</w:t>
      </w:r>
    </w:p>
    <w:p w14:paraId="0A1E54E0" w14:textId="501DE89C" w:rsidR="00D23798" w:rsidRDefault="00D23798">
      <w:pPr>
        <w:pBdr>
          <w:top w:val="nil"/>
          <w:left w:val="nil"/>
          <w:bottom w:val="nil"/>
          <w:right w:val="nil"/>
          <w:between w:val="nil"/>
        </w:pBdr>
        <w:ind w:left="180"/>
        <w:rPr>
          <w:i/>
          <w:color w:val="000000"/>
          <w:sz w:val="22"/>
          <w:szCs w:val="22"/>
        </w:rPr>
      </w:pPr>
    </w:p>
    <w:p w14:paraId="48AACA80" w14:textId="77777777" w:rsidR="00D23798" w:rsidRDefault="00D23798">
      <w:pPr>
        <w:pBdr>
          <w:top w:val="nil"/>
          <w:left w:val="nil"/>
          <w:bottom w:val="nil"/>
          <w:right w:val="nil"/>
          <w:between w:val="nil"/>
        </w:pBdr>
        <w:ind w:left="180"/>
        <w:rPr>
          <w:color w:val="000000"/>
          <w:sz w:val="22"/>
          <w:szCs w:val="22"/>
        </w:rPr>
      </w:pPr>
    </w:p>
    <w:p w14:paraId="5B276205" w14:textId="19511F95" w:rsidR="00D23798" w:rsidRPr="00346220" w:rsidRDefault="00000000">
      <w:pPr>
        <w:ind w:left="180"/>
        <w:rPr>
          <w:b/>
          <w:i/>
          <w:iCs/>
          <w:sz w:val="22"/>
          <w:szCs w:val="22"/>
        </w:rPr>
      </w:pPr>
      <w:r w:rsidRPr="00346220">
        <w:rPr>
          <w:b/>
          <w:i/>
          <w:iCs/>
          <w:sz w:val="22"/>
          <w:szCs w:val="22"/>
        </w:rPr>
        <w:t>ABSTRAK</w:t>
      </w:r>
    </w:p>
    <w:p w14:paraId="16B77C72" w14:textId="4D68A7F6" w:rsidR="00346220" w:rsidRPr="00346220" w:rsidRDefault="00346220" w:rsidP="00346220">
      <w:pPr>
        <w:pBdr>
          <w:top w:val="nil"/>
          <w:left w:val="nil"/>
          <w:bottom w:val="nil"/>
          <w:right w:val="nil"/>
          <w:between w:val="nil"/>
        </w:pBdr>
        <w:ind w:left="180"/>
        <w:jc w:val="both"/>
        <w:rPr>
          <w:i/>
          <w:iCs/>
          <w:color w:val="000000"/>
          <w:sz w:val="22"/>
          <w:szCs w:val="22"/>
        </w:rPr>
      </w:pPr>
      <w:r w:rsidRPr="00346220">
        <w:rPr>
          <w:i/>
          <w:iCs/>
          <w:color w:val="000000"/>
          <w:sz w:val="22"/>
          <w:szCs w:val="22"/>
        </w:rPr>
        <w:t>Penelitian ini menginvestigasi pengaruh rasio keuangan, meliputi Current Ratio (CR), Debt to Asset Ratio (DAR), dan Total Asset Turn Over (TATO), terhadap Net Profit Margin (NPM) pada perusahaan tambang yang terdaftar di Bursa Efek Indonesia untuk periode 2017-2021. Tujuan penelitian ini adalah untuk menilai pengaruh individu dan kolektif dari indikator keuangan ini terhadap NPM perusahaan yang dipilih. Data penelitian diperoleh dari www.hots.mirraeasset.co.id, dengan total populasi sebanyak 49 perusahaan. Namun, hanya 31 perusahaan yang memenuhi kriteria sampel yang ditetapkan.</w:t>
      </w:r>
      <w:r w:rsidR="004A6735">
        <w:rPr>
          <w:i/>
          <w:iCs/>
          <w:color w:val="000000"/>
          <w:sz w:val="22"/>
          <w:szCs w:val="22"/>
          <w:lang w:val="en-US"/>
        </w:rPr>
        <w:t xml:space="preserve"> </w:t>
      </w:r>
      <w:r w:rsidRPr="00346220">
        <w:rPr>
          <w:i/>
          <w:iCs/>
          <w:color w:val="000000"/>
          <w:sz w:val="22"/>
          <w:szCs w:val="22"/>
        </w:rPr>
        <w:t>Analisis data menggunakan teknik regresi linier berganda dengan bantuan aplikasi SPSS versi 25.0. Hasil penelitian menunjukkan bahwa, secara individu, Current Ratio tidak memiliki pengaruh signifikan terhadap Net Profit Margin, sementara Debt to Asset Ratio menunjukkan pengaruh yang signifikan. Di sisi lain, Total Asset Turn Over tidak memiliki pengaruh signifikan terhadap Net Profit Margin ketika diukur secara individu. Meskipun demikian, ketika dinilai secara bersamaan, Current Ratio, Debt to Asset Ratio, dan Total Asset Turn Over secara bersama-sama menunjukkan pengaruh yang signifikan terhadap Net Profit Margin. Perlu diperhatikan bahwa, di antara ketiga variabel tersebut, tidak ada yang membentuk hubungan yang erat dengan Net Profit Margin.</w:t>
      </w:r>
    </w:p>
    <w:p w14:paraId="182DCFCC" w14:textId="77777777" w:rsidR="00346220" w:rsidRPr="00346220" w:rsidRDefault="00346220" w:rsidP="00346220">
      <w:pPr>
        <w:pBdr>
          <w:top w:val="nil"/>
          <w:left w:val="nil"/>
          <w:bottom w:val="nil"/>
          <w:right w:val="nil"/>
          <w:between w:val="nil"/>
        </w:pBdr>
        <w:ind w:left="180"/>
        <w:jc w:val="center"/>
        <w:rPr>
          <w:i/>
          <w:iCs/>
          <w:color w:val="000000"/>
          <w:sz w:val="22"/>
          <w:szCs w:val="22"/>
        </w:rPr>
      </w:pPr>
    </w:p>
    <w:p w14:paraId="25EDBEC5" w14:textId="3089894C" w:rsidR="00D23798" w:rsidRPr="00346220" w:rsidRDefault="00346220" w:rsidP="00346220">
      <w:pPr>
        <w:pBdr>
          <w:top w:val="nil"/>
          <w:left w:val="nil"/>
          <w:bottom w:val="nil"/>
          <w:right w:val="nil"/>
          <w:between w:val="nil"/>
        </w:pBdr>
        <w:ind w:left="180"/>
        <w:jc w:val="both"/>
        <w:rPr>
          <w:i/>
          <w:iCs/>
          <w:color w:val="000000"/>
          <w:sz w:val="20"/>
          <w:szCs w:val="20"/>
        </w:rPr>
      </w:pPr>
      <w:r w:rsidRPr="00346220">
        <w:rPr>
          <w:b/>
          <w:bCs/>
          <w:i/>
          <w:iCs/>
          <w:color w:val="000000"/>
          <w:sz w:val="22"/>
          <w:szCs w:val="22"/>
        </w:rPr>
        <w:t>Kata Kunci:</w:t>
      </w:r>
      <w:r w:rsidRPr="00346220">
        <w:rPr>
          <w:i/>
          <w:iCs/>
          <w:color w:val="000000"/>
          <w:sz w:val="22"/>
          <w:szCs w:val="22"/>
        </w:rPr>
        <w:t xml:space="preserve"> Rasio Keuangan, Current Ratio, Debt to Asset Ratio, Total Asset Turn Over, Net Profit Margin, Perusahaan Tambang, Bursa Efek Indonesia.</w:t>
      </w:r>
    </w:p>
    <w:p w14:paraId="2CBC48EF" w14:textId="77777777" w:rsidR="00D23798" w:rsidRDefault="00D23798">
      <w:pPr>
        <w:pStyle w:val="Heading1"/>
        <w:spacing w:before="0" w:line="360" w:lineRule="auto"/>
        <w:ind w:left="180" w:firstLine="0"/>
        <w:rPr>
          <w:rFonts w:ascii="Times New Roman" w:eastAsia="Times New Roman" w:hAnsi="Times New Roman" w:cs="Times New Roman"/>
        </w:rPr>
      </w:pPr>
    </w:p>
    <w:p w14:paraId="4E46C999" w14:textId="134A6224" w:rsidR="00D23798" w:rsidRDefault="00000000">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PENDAHULUAN</w:t>
      </w:r>
    </w:p>
    <w:p w14:paraId="5B4C4FA5" w14:textId="77777777" w:rsidR="004A6735" w:rsidRPr="004A6735" w:rsidRDefault="004A6735" w:rsidP="004A6735">
      <w:pPr>
        <w:pBdr>
          <w:top w:val="nil"/>
          <w:left w:val="nil"/>
          <w:bottom w:val="nil"/>
          <w:right w:val="nil"/>
          <w:between w:val="nil"/>
        </w:pBdr>
        <w:ind w:left="180"/>
        <w:jc w:val="both"/>
        <w:rPr>
          <w:color w:val="111111"/>
        </w:rPr>
      </w:pPr>
      <w:r w:rsidRPr="004A6735">
        <w:rPr>
          <w:color w:val="111111"/>
        </w:rPr>
        <w:t>Keuangan merupakan domain yang berkaitan erat dengan manajemen aspek uang dan investasi (Gitman, 2012). Secara umum, keuangan dapat terbagi menjadi tiga kategori utama: keuangan publik, keuangan perusahaan, dan keuangan pribadi. Keuangan perusahaan, yang melibatkan pengelolaan modal, kas, dan aset perusahaan, merupakan elemen krusial yang mendukung kelangsungan suatu entitas bisnis (Gitman, 2012). Manajemen keuangan, sebagai disiplin ilmu yang merencanakan, mengelola, mengendalikan, dan menyimpan dana serta aset perusahaan, memainkan peran penting dalam keberhasilan dan keberlanjutan perusahaan (Musthafa, 2017: 3).</w:t>
      </w:r>
    </w:p>
    <w:p w14:paraId="01BADA03" w14:textId="77777777" w:rsidR="004A6735" w:rsidRPr="004A6735" w:rsidRDefault="004A6735" w:rsidP="004A6735">
      <w:pPr>
        <w:pBdr>
          <w:top w:val="nil"/>
          <w:left w:val="nil"/>
          <w:bottom w:val="nil"/>
          <w:right w:val="nil"/>
          <w:between w:val="nil"/>
        </w:pBdr>
        <w:ind w:left="180"/>
        <w:jc w:val="both"/>
        <w:rPr>
          <w:color w:val="111111"/>
        </w:rPr>
      </w:pPr>
      <w:r w:rsidRPr="004A6735">
        <w:rPr>
          <w:color w:val="111111"/>
        </w:rPr>
        <w:t>Industri pertambangan di Indonesia, dengan meningkatnya harga komoditas mineral dan pertumbuhan positif sektor tersebut, menjadi sorotan utama pada tahun 2022 (www.m.bisnis.com, Februari 2022). Sebagai negara dengan sumber daya mineral yang melimpah, Indonesia menempati peringkat keenam sebagai negara kaya sumber daya alam menurut survei geologi Amerika Serikat (USGS) tahun 2022. Fakta ini menjadikan industri pertambangan sebagai salah satu pilar utama dalam mendorong perekonomian Indonesia. Pada Bursa Efek Indonesia (BEI), tercatat 49 perusahaan tambang pada tahun 2022.</w:t>
      </w:r>
    </w:p>
    <w:p w14:paraId="596ACADF" w14:textId="77777777" w:rsidR="004A6735" w:rsidRDefault="004A6735" w:rsidP="004A6735">
      <w:pPr>
        <w:pBdr>
          <w:top w:val="nil"/>
          <w:left w:val="nil"/>
          <w:bottom w:val="nil"/>
          <w:right w:val="nil"/>
          <w:between w:val="nil"/>
        </w:pBdr>
        <w:ind w:left="180"/>
        <w:jc w:val="both"/>
        <w:rPr>
          <w:color w:val="111111"/>
        </w:rPr>
      </w:pPr>
      <w:r w:rsidRPr="004A6735">
        <w:rPr>
          <w:color w:val="111111"/>
        </w:rPr>
        <w:t>Profitabilitas, sebagai kemampuan perusahaan dalam mengelola modal untuk mencapai keuntungan, menjadi aspek kritis dalam mengukur kinerja perusahaan (Munawir, 2013: 33). Tingkat profitabilitas tercermin dalam rasio Net Profit Margin (NPM), yang mencerminkan efektivitas dan kinerja perusahaan dalam menghasilkan laba. Kinerja keuangan perusahaan publik dapat diamati melalui laporan keuangannya di pasar modal (BEI) (Fahmi, 2018: 142).</w:t>
      </w:r>
    </w:p>
    <w:p w14:paraId="53FE826C" w14:textId="77777777" w:rsidR="00621DF6" w:rsidRDefault="00621DF6" w:rsidP="004A6735">
      <w:pPr>
        <w:pBdr>
          <w:top w:val="nil"/>
          <w:left w:val="nil"/>
          <w:bottom w:val="nil"/>
          <w:right w:val="nil"/>
          <w:between w:val="nil"/>
        </w:pBdr>
        <w:ind w:left="180"/>
        <w:jc w:val="both"/>
        <w:rPr>
          <w:color w:val="111111"/>
        </w:rPr>
      </w:pPr>
    </w:p>
    <w:p w14:paraId="24618CFD" w14:textId="77777777" w:rsidR="00EA53DB" w:rsidRDefault="00EA53DB" w:rsidP="00EA53DB">
      <w:pPr>
        <w:pStyle w:val="ListParagraph"/>
        <w:spacing w:line="240" w:lineRule="auto"/>
        <w:ind w:left="284"/>
        <w:jc w:val="center"/>
        <w:rPr>
          <w:rFonts w:ascii="Arial" w:hAnsi="Arial" w:cs="Arial"/>
          <w:sz w:val="24"/>
          <w:szCs w:val="24"/>
        </w:rPr>
      </w:pPr>
      <w:r>
        <w:rPr>
          <w:rFonts w:ascii="Arial" w:hAnsi="Arial" w:cs="Arial"/>
          <w:noProof/>
          <w:sz w:val="24"/>
          <w:szCs w:val="24"/>
          <w:lang w:val="id-ID" w:eastAsia="id-ID"/>
        </w:rPr>
        <w:drawing>
          <wp:inline distT="0" distB="0" distL="0" distR="0" wp14:anchorId="4D6FA558" wp14:editId="4F270C91">
            <wp:extent cx="4584700" cy="252412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524125"/>
                    </a:xfrm>
                    <a:prstGeom prst="rect">
                      <a:avLst/>
                    </a:prstGeom>
                    <a:noFill/>
                  </pic:spPr>
                </pic:pic>
              </a:graphicData>
            </a:graphic>
          </wp:inline>
        </w:drawing>
      </w:r>
    </w:p>
    <w:p w14:paraId="384BC274" w14:textId="606E0B34" w:rsidR="00EA53DB" w:rsidRPr="00621DF6" w:rsidRDefault="00EA53DB" w:rsidP="00EA53DB">
      <w:pPr>
        <w:pStyle w:val="ListParagraph"/>
        <w:spacing w:line="360" w:lineRule="auto"/>
        <w:ind w:left="284"/>
        <w:jc w:val="center"/>
        <w:rPr>
          <w:rFonts w:ascii="Times New Roman" w:hAnsi="Times New Roman" w:cs="Times New Roman"/>
          <w:b/>
          <w:bCs/>
          <w:sz w:val="24"/>
          <w:szCs w:val="24"/>
        </w:rPr>
      </w:pPr>
      <w:r w:rsidRPr="00621DF6">
        <w:rPr>
          <w:rFonts w:ascii="Times New Roman" w:hAnsi="Times New Roman" w:cs="Times New Roman"/>
          <w:b/>
          <w:bCs/>
          <w:sz w:val="24"/>
          <w:szCs w:val="24"/>
        </w:rPr>
        <w:t>Gambar 1</w:t>
      </w:r>
      <w:r w:rsidR="0084688F" w:rsidRPr="00621DF6">
        <w:rPr>
          <w:rFonts w:ascii="Times New Roman" w:hAnsi="Times New Roman" w:cs="Times New Roman"/>
          <w:b/>
          <w:bCs/>
          <w:sz w:val="24"/>
          <w:szCs w:val="24"/>
        </w:rPr>
        <w:t xml:space="preserve">. </w:t>
      </w:r>
      <w:r w:rsidRPr="00621DF6">
        <w:rPr>
          <w:rFonts w:ascii="Times New Roman" w:hAnsi="Times New Roman" w:cs="Times New Roman"/>
          <w:b/>
          <w:bCs/>
          <w:sz w:val="24"/>
          <w:szCs w:val="24"/>
        </w:rPr>
        <w:t xml:space="preserve">Rata – rata Rasio Keuangan Perusahaan Tambang Tahun </w:t>
      </w:r>
      <w:r w:rsidR="0084688F" w:rsidRPr="00621DF6">
        <w:rPr>
          <w:rFonts w:ascii="Times New Roman" w:hAnsi="Times New Roman" w:cs="Times New Roman"/>
          <w:b/>
          <w:bCs/>
          <w:sz w:val="24"/>
          <w:szCs w:val="24"/>
        </w:rPr>
        <w:t>2017-</w:t>
      </w:r>
      <w:r w:rsidRPr="00621DF6">
        <w:rPr>
          <w:rFonts w:ascii="Times New Roman" w:hAnsi="Times New Roman" w:cs="Times New Roman"/>
          <w:b/>
          <w:bCs/>
          <w:sz w:val="24"/>
          <w:szCs w:val="24"/>
        </w:rPr>
        <w:t>2021</w:t>
      </w:r>
    </w:p>
    <w:p w14:paraId="692C3805" w14:textId="77777777" w:rsidR="0084688F" w:rsidRPr="00621DF6" w:rsidRDefault="0084688F" w:rsidP="00621DF6">
      <w:pPr>
        <w:pStyle w:val="ListParagraph"/>
        <w:spacing w:line="480" w:lineRule="auto"/>
        <w:ind w:left="180"/>
        <w:jc w:val="center"/>
        <w:rPr>
          <w:rFonts w:ascii="Times New Roman" w:hAnsi="Times New Roman" w:cs="Times New Roman"/>
          <w:sz w:val="24"/>
          <w:szCs w:val="24"/>
        </w:rPr>
      </w:pPr>
      <w:r w:rsidRPr="00621DF6">
        <w:rPr>
          <w:rFonts w:ascii="Times New Roman" w:hAnsi="Times New Roman" w:cs="Times New Roman"/>
          <w:sz w:val="24"/>
          <w:szCs w:val="24"/>
        </w:rPr>
        <w:t>Sumber; Annual Report IDX tahun 2021</w:t>
      </w:r>
    </w:p>
    <w:p w14:paraId="01FE1A11" w14:textId="77777777" w:rsidR="004A6735" w:rsidRPr="004A6735" w:rsidRDefault="004A6735" w:rsidP="004A6735">
      <w:pPr>
        <w:pBdr>
          <w:top w:val="nil"/>
          <w:left w:val="nil"/>
          <w:bottom w:val="nil"/>
          <w:right w:val="nil"/>
          <w:between w:val="nil"/>
        </w:pBdr>
        <w:ind w:left="180"/>
        <w:jc w:val="both"/>
        <w:rPr>
          <w:color w:val="111111"/>
        </w:rPr>
      </w:pPr>
      <w:r w:rsidRPr="004A6735">
        <w:rPr>
          <w:color w:val="111111"/>
        </w:rPr>
        <w:t>Melihat pentingnya profitabilitas dalam menentukan keberhasilan suatu perusahaan, kajian ini berfokus pada pengaruh beberapa rasio keuangan terhadap Net Profit Margin (NPM) perusahaan tambang di Indonesia selama periode 2017-2021. Penurunan NPM pada tahun-tahun terakhir menjadi pokok perhatian, memotivasi penelitian ini untuk mengungkap faktor-faktor yang mungkin mempengaruhi kinerja profitabilitas tersebut.</w:t>
      </w:r>
    </w:p>
    <w:p w14:paraId="0DECB048" w14:textId="68F3D564" w:rsidR="004A6735" w:rsidRPr="004A6735" w:rsidRDefault="004A6735" w:rsidP="004A6735">
      <w:pPr>
        <w:pBdr>
          <w:top w:val="nil"/>
          <w:left w:val="nil"/>
          <w:bottom w:val="nil"/>
          <w:right w:val="nil"/>
          <w:between w:val="nil"/>
        </w:pBdr>
        <w:ind w:left="180"/>
        <w:jc w:val="both"/>
        <w:rPr>
          <w:color w:val="111111"/>
        </w:rPr>
      </w:pPr>
      <w:r w:rsidRPr="004A6735">
        <w:rPr>
          <w:color w:val="111111"/>
        </w:rPr>
        <w:lastRenderedPageBreak/>
        <w:t>Penelitian ini bertujuan untuk</w:t>
      </w:r>
      <w:r>
        <w:rPr>
          <w:color w:val="111111"/>
          <w:lang w:val="en-US"/>
        </w:rPr>
        <w:t xml:space="preserve"> m</w:t>
      </w:r>
      <w:r w:rsidRPr="004A6735">
        <w:rPr>
          <w:color w:val="111111"/>
        </w:rPr>
        <w:t>enilai pengaruh Current Ratio (CR), Debt to Asset Ratio (DAR), dan Total Asset Turn Over (TATO) terhadap Net Profit Margin (NPM) perusahaan tambang</w:t>
      </w:r>
      <w:r>
        <w:rPr>
          <w:color w:val="111111"/>
          <w:lang w:val="en-US"/>
        </w:rPr>
        <w:t xml:space="preserve"> serta m</w:t>
      </w:r>
      <w:r w:rsidRPr="004A6735">
        <w:rPr>
          <w:color w:val="111111"/>
        </w:rPr>
        <w:t>enganalisis fluktuasi rasio keuangan perusahaan tambang dalam lima tahun terakhi</w:t>
      </w:r>
      <w:r>
        <w:rPr>
          <w:color w:val="111111"/>
          <w:lang w:val="en-US"/>
        </w:rPr>
        <w:t xml:space="preserve"> dan m</w:t>
      </w:r>
      <w:r w:rsidRPr="004A6735">
        <w:rPr>
          <w:color w:val="111111"/>
        </w:rPr>
        <w:t>enyelidiki faktor-faktor yang dapat menjelaskan penurunan Net Profit Margin pada industri pertambangan.</w:t>
      </w:r>
    </w:p>
    <w:p w14:paraId="6E5FEE3B" w14:textId="77777777" w:rsidR="004A6735" w:rsidRPr="004A6735" w:rsidRDefault="004A6735" w:rsidP="004A6735">
      <w:pPr>
        <w:pBdr>
          <w:top w:val="nil"/>
          <w:left w:val="nil"/>
          <w:bottom w:val="nil"/>
          <w:right w:val="nil"/>
          <w:between w:val="nil"/>
        </w:pBdr>
        <w:ind w:left="180"/>
        <w:jc w:val="both"/>
        <w:rPr>
          <w:color w:val="111111"/>
        </w:rPr>
      </w:pPr>
      <w:r w:rsidRPr="004A6735">
        <w:rPr>
          <w:color w:val="111111"/>
        </w:rPr>
        <w:t>Penelitian ini memberikan kontribusi signifikan dalam pemahaman faktor-faktor yang memengaruhi profitabilitas perusahaan tambang di tengah dinamika industri pertambangan Indonesia. Hasil penelitian diharapkan dapat menjadi dasar bagi manajemen perusahaan, regulator, dan pihak-pihak terkait untuk mengoptimalkan pengelolaan keuangan dan meningkatkan kinerja profitabilitas.</w:t>
      </w:r>
    </w:p>
    <w:p w14:paraId="6F278ED0" w14:textId="77777777" w:rsidR="004A6735" w:rsidRPr="004A6735" w:rsidRDefault="004A6735" w:rsidP="004A6735">
      <w:pPr>
        <w:pBdr>
          <w:top w:val="nil"/>
          <w:left w:val="nil"/>
          <w:bottom w:val="nil"/>
          <w:right w:val="nil"/>
          <w:between w:val="nil"/>
        </w:pBdr>
        <w:ind w:left="180"/>
        <w:jc w:val="both"/>
        <w:rPr>
          <w:color w:val="111111"/>
        </w:rPr>
      </w:pPr>
      <w:r w:rsidRPr="004A6735">
        <w:rPr>
          <w:color w:val="111111"/>
        </w:rPr>
        <w:t>Dalam melihat performa keuangan perusahaan tambang, kita dapat merinci faktor-faktor yang terlibat, seperti likuiditas (Current Ratio, Quick Ratio), aktivitas (Total Asset Turn Over), solvabilitas (Debt to Asset Ratio, Debt to Equity Ratio), dan profitabilitas (Net Profit Margin). Rasio- rasio ini, yang diukur dari laporan keuangan perusahaan, memberikan gambaran menyeluruh tentang kesehatan keuangan dan kemampuan perusahaan dalam mencapai tujuan profitabilitasnya (Suteja, 2018; Agus Sartono, 2010: 114).</w:t>
      </w:r>
    </w:p>
    <w:p w14:paraId="3D304063" w14:textId="746B0EB9" w:rsidR="00D23798" w:rsidRDefault="004A6735" w:rsidP="004A6735">
      <w:pPr>
        <w:pBdr>
          <w:top w:val="nil"/>
          <w:left w:val="nil"/>
          <w:bottom w:val="nil"/>
          <w:right w:val="nil"/>
          <w:between w:val="nil"/>
        </w:pBdr>
        <w:ind w:left="180"/>
        <w:jc w:val="both"/>
        <w:rPr>
          <w:color w:val="111111"/>
        </w:rPr>
      </w:pPr>
      <w:r w:rsidRPr="004A6735">
        <w:rPr>
          <w:color w:val="111111"/>
        </w:rPr>
        <w:t>Dengan merinci hubungan antara rasio keuangan dan Net Profit Margin, diharapkan penelitian ini dapat memberikan wawasan lebih lanjut tentang pengaruh masing-masing faktor keuangan terhadap profitabilitas perusahaan tambang di Indonesia.</w:t>
      </w:r>
    </w:p>
    <w:p w14:paraId="626B2B83" w14:textId="77777777" w:rsidR="004A6735" w:rsidRDefault="004A6735" w:rsidP="004A6735">
      <w:pPr>
        <w:pBdr>
          <w:top w:val="nil"/>
          <w:left w:val="nil"/>
          <w:bottom w:val="nil"/>
          <w:right w:val="nil"/>
          <w:between w:val="nil"/>
        </w:pBdr>
        <w:ind w:left="180"/>
        <w:jc w:val="both"/>
        <w:rPr>
          <w:color w:val="111111"/>
        </w:rPr>
      </w:pPr>
    </w:p>
    <w:p w14:paraId="7061935B" w14:textId="77777777" w:rsidR="004A6735" w:rsidRDefault="004A6735" w:rsidP="004A6735">
      <w:pPr>
        <w:pBdr>
          <w:top w:val="nil"/>
          <w:left w:val="nil"/>
          <w:bottom w:val="nil"/>
          <w:right w:val="nil"/>
          <w:between w:val="nil"/>
        </w:pBdr>
        <w:ind w:left="180"/>
        <w:jc w:val="both"/>
        <w:rPr>
          <w:color w:val="000000"/>
        </w:rPr>
      </w:pPr>
    </w:p>
    <w:p w14:paraId="7F22E5E9" w14:textId="77777777" w:rsidR="00D23798" w:rsidRDefault="00000000">
      <w:pPr>
        <w:pBdr>
          <w:top w:val="nil"/>
          <w:left w:val="nil"/>
          <w:bottom w:val="nil"/>
          <w:right w:val="nil"/>
          <w:between w:val="nil"/>
        </w:pBdr>
        <w:ind w:left="180"/>
        <w:jc w:val="both"/>
        <w:rPr>
          <w:b/>
          <w:color w:val="000000"/>
        </w:rPr>
      </w:pPr>
      <w:r>
        <w:rPr>
          <w:b/>
          <w:color w:val="000000"/>
        </w:rPr>
        <w:t>KAJIAN PUSTAKA</w:t>
      </w:r>
    </w:p>
    <w:p w14:paraId="41C27681" w14:textId="77777777" w:rsidR="002923BE" w:rsidRDefault="002923BE">
      <w:pPr>
        <w:pBdr>
          <w:top w:val="nil"/>
          <w:left w:val="nil"/>
          <w:bottom w:val="nil"/>
          <w:right w:val="nil"/>
          <w:between w:val="nil"/>
        </w:pBdr>
        <w:ind w:left="180"/>
        <w:jc w:val="both"/>
        <w:rPr>
          <w:rFonts w:ascii="Arial" w:eastAsia="Arial" w:hAnsi="Arial" w:cs="Arial"/>
          <w:b/>
          <w:color w:val="000000"/>
        </w:rPr>
      </w:pPr>
    </w:p>
    <w:p w14:paraId="78DB1493" w14:textId="01ADB6E2" w:rsidR="00D23798" w:rsidRDefault="002923BE">
      <w:pPr>
        <w:pBdr>
          <w:top w:val="nil"/>
          <w:left w:val="nil"/>
          <w:bottom w:val="nil"/>
          <w:right w:val="nil"/>
          <w:between w:val="nil"/>
        </w:pBdr>
        <w:ind w:left="180"/>
        <w:jc w:val="both"/>
        <w:rPr>
          <w:b/>
          <w:bCs/>
          <w:i/>
          <w:iCs/>
          <w:color w:val="000000"/>
          <w:lang w:val="en-US"/>
        </w:rPr>
      </w:pPr>
      <w:r w:rsidRPr="002923BE">
        <w:rPr>
          <w:b/>
          <w:bCs/>
          <w:i/>
          <w:iCs/>
          <w:color w:val="000000"/>
          <w:lang w:val="en-US"/>
        </w:rPr>
        <w:t>Grand Theory: Resource-Based View Theory (RBV)</w:t>
      </w:r>
    </w:p>
    <w:p w14:paraId="7BAF36F6" w14:textId="67717952" w:rsidR="002923BE" w:rsidRDefault="002923BE">
      <w:pPr>
        <w:pBdr>
          <w:top w:val="nil"/>
          <w:left w:val="nil"/>
          <w:bottom w:val="nil"/>
          <w:right w:val="nil"/>
          <w:between w:val="nil"/>
        </w:pBdr>
        <w:ind w:left="180"/>
        <w:jc w:val="both"/>
        <w:rPr>
          <w:color w:val="000000"/>
          <w:lang w:val="en-US"/>
        </w:rPr>
      </w:pPr>
      <w:r w:rsidRPr="002923BE">
        <w:rPr>
          <w:color w:val="000000"/>
          <w:lang w:val="en-US"/>
        </w:rPr>
        <w:t>Teori Sumber Daya dan Kemampuan (Resource-Based View Theory) merupakan suatu kerangka konseptual yang mendalam dalam memahami bagaimana perusahaan dapat mencapai keunggulan kompetitif melalui pemanfaatan sumber daya dan kemampuan yang unik. Teori ini menganggap bahwa keberhasilan perusahaan dalam mencapai tujuannya tergantung pada efektivitas dalam mengelola dan mengoptimalkan sumber daya dan kemampuan yang dimilikinya (Barney, 1991).</w:t>
      </w:r>
      <w:r w:rsidRPr="002923BE">
        <w:t xml:space="preserve"> </w:t>
      </w:r>
      <w:r w:rsidRPr="002923BE">
        <w:rPr>
          <w:color w:val="000000"/>
          <w:lang w:val="en-US"/>
        </w:rPr>
        <w:t>Dalam konteks penelitian ini, RBV memberikan wawasan mendalam tentang bagaimana sumber daya dan kemampuan internal perusahaan pertambangan di Indonesia dapat mempengaruhi rasio keuangan, terutama Current Ratio (CR), Debt to Asset Ratio (DAR), Total Asset Turn Over (TATO), dan Net Profit Margin (NPM) selama periode 2017-2021.</w:t>
      </w:r>
    </w:p>
    <w:p w14:paraId="62FD9CD1" w14:textId="77777777" w:rsidR="00BB0467" w:rsidRPr="00BB0467" w:rsidRDefault="00BB0467" w:rsidP="00BB0467">
      <w:pPr>
        <w:pBdr>
          <w:top w:val="nil"/>
          <w:left w:val="nil"/>
          <w:bottom w:val="nil"/>
          <w:right w:val="nil"/>
          <w:between w:val="nil"/>
        </w:pBdr>
        <w:ind w:left="180"/>
        <w:jc w:val="both"/>
        <w:rPr>
          <w:color w:val="000000"/>
        </w:rPr>
      </w:pPr>
      <w:r w:rsidRPr="00BB0467">
        <w:rPr>
          <w:color w:val="000000"/>
        </w:rPr>
        <w:t>Teori Sumber Daya dan Kemampuan (Resource-Based View/RBV) menitikberatkan pada identifikasi serta pengelolaan sumber daya dan kemampuan internal perusahaan. Dalam lingkup perusahaan pertambangan, sumber daya kunci seperti aset mineral, teknologi ekstraksi, keahlian karyawan, dan hubungan dengan pemerintah menjadi fokus utama (Wernerfelt, 1984). Evaluasi terhadap nilai, kelangkaan, ketidakimitasian, dan ketidakgantian sumber daya menjadi langkah krusial (Barney, 1991). RBV tidak hanya mengidentifikasi, namun juga menyoroti bagaimana perusahaan mampu mengelola dan mengoptimalkan penggunaan sumber daya internalnya. Dalam industri pertambangan, pengelolaan aset mineral, penerapan teknologi terkini dalam ekstraksi, dan pengembangan kompetensi karyawan menjadi aspek penting. Penelitian menunjukkan bahwa optimalisasi penggunaan sumber daya ini dapat memberikan kontribusi signifikan pada peningkatan profitabilitas (Barney, 1991; Peteraf, 1993).</w:t>
      </w:r>
    </w:p>
    <w:p w14:paraId="64924CF7" w14:textId="77777777" w:rsidR="00BB0467" w:rsidRPr="00BB0467" w:rsidRDefault="00BB0467" w:rsidP="00BB0467">
      <w:pPr>
        <w:pBdr>
          <w:top w:val="nil"/>
          <w:left w:val="nil"/>
          <w:bottom w:val="nil"/>
          <w:right w:val="nil"/>
          <w:between w:val="nil"/>
        </w:pBdr>
        <w:ind w:left="180"/>
        <w:jc w:val="both"/>
        <w:rPr>
          <w:color w:val="000000"/>
        </w:rPr>
      </w:pPr>
      <w:r w:rsidRPr="00BB0467">
        <w:rPr>
          <w:color w:val="000000"/>
        </w:rPr>
        <w:t xml:space="preserve">Selain itu, RBV memberikan dasar teoritis yang kuat untuk memahami keterkaitan antara sumber daya perusahaan pertambangan dan rasio keuangan seperti Current Ratio (CR), Debt </w:t>
      </w:r>
      <w:r w:rsidRPr="00BB0467">
        <w:rPr>
          <w:color w:val="000000"/>
        </w:rPr>
        <w:lastRenderedPageBreak/>
        <w:t>to Asset Ratio (DAR), Total Asset Turn Over (TATO), dan Net Profit Margin (NPM). Sebagai contoh, sumber daya likuid seperti kas dan investasi dapat memengaruhi Current Ratio, sementara pemanfaatan teknologi terkini dapat meningkatkan Total Asset Turn Over (Hitt et al., 2007). RBV memfasilitasi analisis tentang pengaruh sumber daya terhadap NPM. Fokus pada kemampuan perusahaan pertambangan dalam mengelola aset dan kemampuan internalnya untuk menciptakan nilai tambah, serta manajemen yang efektif dalam mengoptimalkan sumber daya dan kemampuan, dapat menciptakan keunggulan kompetitif yang berkelanjutan (Wernerfelt, 1984). Dengan mengevaluasi kemampuan perusahaan dalam mengoptimalkan penggunaan sumber daya dan mencapai keunggulan kompetitif, penelitian dapat memberikan wawasan mendalam tentang bagaimana sumber daya mempengaruhi NPM.</w:t>
      </w:r>
    </w:p>
    <w:p w14:paraId="38B185F0" w14:textId="11D672E5" w:rsidR="002923BE" w:rsidRDefault="00BB0467" w:rsidP="00BB0467">
      <w:pPr>
        <w:pBdr>
          <w:top w:val="nil"/>
          <w:left w:val="nil"/>
          <w:bottom w:val="nil"/>
          <w:right w:val="nil"/>
          <w:between w:val="nil"/>
        </w:pBdr>
        <w:ind w:left="180"/>
        <w:jc w:val="both"/>
        <w:rPr>
          <w:color w:val="000000"/>
        </w:rPr>
      </w:pPr>
      <w:r w:rsidRPr="00BB0467">
        <w:rPr>
          <w:color w:val="000000"/>
        </w:rPr>
        <w:t>RBV juga membantu identifikasi faktor pembatas dan tantangan dalam pemanfaatan sumber daya dan kemampuan. Kendala seperti peraturan pemerintah, fluktuasi harga komoditas, atau kurangnya teknologi ekstraksi yang mutakhir dapat membatasi dampak positif sumber daya terhadap rasio keuangan (Barney, 1991). Terakhir, RBV memungkinkan peneliti untuk mengintegrasikan temuan empiris terkait pengaruh Current Ratio, Debt to Asset Ratio, dan Total Asset Turn Over terhadap Net Profit Margin dengan landasan teoritis yang kokoh (Peteraf, 1993).</w:t>
      </w:r>
    </w:p>
    <w:p w14:paraId="08D5ACFB" w14:textId="77777777" w:rsidR="00BB0467" w:rsidRDefault="00BB0467" w:rsidP="00BB0467">
      <w:pPr>
        <w:pBdr>
          <w:top w:val="nil"/>
          <w:left w:val="nil"/>
          <w:bottom w:val="nil"/>
          <w:right w:val="nil"/>
          <w:between w:val="nil"/>
        </w:pBdr>
        <w:ind w:left="180"/>
        <w:jc w:val="both"/>
        <w:rPr>
          <w:color w:val="000000"/>
        </w:rPr>
      </w:pPr>
    </w:p>
    <w:p w14:paraId="1011CA42" w14:textId="458E4984" w:rsidR="00BB0467" w:rsidRDefault="00BB0467" w:rsidP="00BB0467">
      <w:pPr>
        <w:pBdr>
          <w:top w:val="nil"/>
          <w:left w:val="nil"/>
          <w:bottom w:val="nil"/>
          <w:right w:val="nil"/>
          <w:between w:val="nil"/>
        </w:pBdr>
        <w:ind w:left="180"/>
        <w:jc w:val="both"/>
        <w:rPr>
          <w:b/>
          <w:bCs/>
          <w:i/>
          <w:iCs/>
          <w:color w:val="000000"/>
        </w:rPr>
      </w:pPr>
      <w:r w:rsidRPr="00BB0467">
        <w:rPr>
          <w:b/>
          <w:bCs/>
          <w:i/>
          <w:iCs/>
          <w:color w:val="000000"/>
        </w:rPr>
        <w:t>Net Profit Margin</w:t>
      </w:r>
    </w:p>
    <w:p w14:paraId="5DE93A01" w14:textId="77777777" w:rsidR="002B59A8" w:rsidRPr="002B59A8" w:rsidRDefault="002B59A8" w:rsidP="002B59A8">
      <w:pPr>
        <w:pBdr>
          <w:top w:val="nil"/>
          <w:left w:val="nil"/>
          <w:bottom w:val="nil"/>
          <w:right w:val="nil"/>
          <w:between w:val="nil"/>
        </w:pBdr>
        <w:ind w:left="180"/>
        <w:jc w:val="both"/>
        <w:rPr>
          <w:color w:val="000000"/>
        </w:rPr>
      </w:pPr>
      <w:r w:rsidRPr="002B59A8">
        <w:rPr>
          <w:color w:val="000000"/>
        </w:rPr>
        <w:t>Net Profit Margin (NPM) merupakan salah satu rasio profitabilitas yang memiliki peran penting dalam mengukur seberapa efisien suatu perusahaan dalam menghasilkan laba bersih dari setiap penjualan atau pendapatan. Dalam literatur keuangan, terdapat beberapa definisi dan pendekatan untuk memahami konsep NPM.</w:t>
      </w:r>
    </w:p>
    <w:p w14:paraId="10AF7031" w14:textId="77777777" w:rsidR="002B59A8" w:rsidRPr="002B59A8" w:rsidRDefault="002B59A8" w:rsidP="002B59A8">
      <w:pPr>
        <w:pBdr>
          <w:top w:val="nil"/>
          <w:left w:val="nil"/>
          <w:bottom w:val="nil"/>
          <w:right w:val="nil"/>
          <w:between w:val="nil"/>
        </w:pBdr>
        <w:ind w:left="180"/>
        <w:jc w:val="both"/>
        <w:rPr>
          <w:color w:val="000000"/>
        </w:rPr>
      </w:pPr>
      <w:r w:rsidRPr="002B59A8">
        <w:rPr>
          <w:color w:val="000000"/>
        </w:rPr>
        <w:t>Menurut Kasmir (2014: 202), NPM dihitung dengan membandingkan laba operasional dengan penjualan. Rasio ini memberikan gambaran sejauh mana keuntungan operasional diperoleh dari setiap rupiah penjualan. Semakin tinggi nilai NPM, semakin baik profitabilitas perusahaan, yang dapat menarik minat investor untuk menanamkan modalnya.</w:t>
      </w:r>
    </w:p>
    <w:p w14:paraId="1CC369B2" w14:textId="77777777" w:rsidR="002B59A8" w:rsidRPr="002B59A8" w:rsidRDefault="002B59A8" w:rsidP="002B59A8">
      <w:pPr>
        <w:pBdr>
          <w:top w:val="nil"/>
          <w:left w:val="nil"/>
          <w:bottom w:val="nil"/>
          <w:right w:val="nil"/>
          <w:between w:val="nil"/>
        </w:pBdr>
        <w:ind w:left="180"/>
        <w:jc w:val="both"/>
        <w:rPr>
          <w:color w:val="000000"/>
        </w:rPr>
      </w:pPr>
      <w:r w:rsidRPr="002B59A8">
        <w:rPr>
          <w:color w:val="000000"/>
        </w:rPr>
        <w:t>Hery (2015: 227) menambahkan perspektif baru, menyebutkan bahwa NPM menginterpretasikan tingkat efisiensi perusahaan dalam menekan biaya operasional pada periode tertentu. Rasio ini mencerminkan kemampuan perusahaan dalam mendapatkan laba melalui penjualan yang tinggi dan kemampuan dalam mengendalikan biaya operasionalnya. Jika NPM menurun, hal ini dapat diartikan bahwa kemampuan perusahaan dalam mendapatkan laba dari penjualan menurun, serta efisiensi dalam menekan biaya operasionalnya kurang baik.</w:t>
      </w:r>
    </w:p>
    <w:p w14:paraId="05E535F7" w14:textId="77777777" w:rsidR="002B59A8" w:rsidRPr="002B59A8" w:rsidRDefault="002B59A8" w:rsidP="002B59A8">
      <w:pPr>
        <w:pBdr>
          <w:top w:val="nil"/>
          <w:left w:val="nil"/>
          <w:bottom w:val="nil"/>
          <w:right w:val="nil"/>
          <w:between w:val="nil"/>
        </w:pBdr>
        <w:ind w:left="180"/>
        <w:jc w:val="both"/>
        <w:rPr>
          <w:color w:val="000000"/>
        </w:rPr>
      </w:pPr>
      <w:r w:rsidRPr="002B59A8">
        <w:rPr>
          <w:color w:val="000000"/>
        </w:rPr>
        <w:t>Jumingan (2014: 140) juga mengungkapkan bahwa NPM dihitung dengan membandingkan laba operasional dengan penjualan. Semakin tinggi nilai rasio ini, semakin baik profitabilitas perusahaan, dan hal ini dapat menarik minat investor untuk berinvestasi.</w:t>
      </w:r>
    </w:p>
    <w:p w14:paraId="264DAA8D" w14:textId="45EBC2CE" w:rsidR="00BB0467" w:rsidRDefault="002B59A8" w:rsidP="002B59A8">
      <w:pPr>
        <w:pBdr>
          <w:top w:val="nil"/>
          <w:left w:val="nil"/>
          <w:bottom w:val="nil"/>
          <w:right w:val="nil"/>
          <w:between w:val="nil"/>
        </w:pBdr>
        <w:ind w:left="180"/>
        <w:jc w:val="both"/>
        <w:rPr>
          <w:color w:val="000000"/>
        </w:rPr>
      </w:pPr>
      <w:r w:rsidRPr="002B59A8">
        <w:rPr>
          <w:color w:val="000000"/>
        </w:rPr>
        <w:t>Dalam konteks pengukuran NPM, rumus yang umum digunakan adalah</w:t>
      </w:r>
      <w:r>
        <w:rPr>
          <w:color w:val="000000"/>
          <w:lang w:val="en-US"/>
        </w:rPr>
        <w:t xml:space="preserve"> </w:t>
      </w:r>
      <w:r w:rsidRPr="002B59A8">
        <w:rPr>
          <w:color w:val="374151"/>
        </w:rPr>
        <w:t>(Kasmir, 2014: 200)</w:t>
      </w:r>
      <w:r w:rsidRPr="002B59A8">
        <w:rPr>
          <w:color w:val="000000"/>
        </w:rPr>
        <w:t>:</w:t>
      </w:r>
    </w:p>
    <w:p w14:paraId="1A9BEE08" w14:textId="77777777" w:rsidR="00432708" w:rsidRDefault="00432708" w:rsidP="002B59A8">
      <w:pPr>
        <w:pBdr>
          <w:top w:val="nil"/>
          <w:left w:val="nil"/>
          <w:bottom w:val="nil"/>
          <w:right w:val="nil"/>
          <w:between w:val="nil"/>
        </w:pBdr>
        <w:ind w:left="180"/>
        <w:jc w:val="both"/>
        <w:rPr>
          <w:color w:val="00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368"/>
        <w:gridCol w:w="2037"/>
        <w:gridCol w:w="390"/>
        <w:gridCol w:w="600"/>
      </w:tblGrid>
      <w:tr w:rsidR="002B59A8" w14:paraId="353B9DF0" w14:textId="77777777" w:rsidTr="005B345A">
        <w:trPr>
          <w:jc w:val="center"/>
        </w:trPr>
        <w:tc>
          <w:tcPr>
            <w:tcW w:w="1915" w:type="dxa"/>
          </w:tcPr>
          <w:p w14:paraId="1FAEC0F8" w14:textId="77777777" w:rsidR="002B59A8" w:rsidRDefault="002B59A8" w:rsidP="005B345A">
            <w:pPr>
              <w:jc w:val="both"/>
              <w:rPr>
                <w:color w:val="000000"/>
                <w:lang w:val="en-US"/>
              </w:rPr>
            </w:pPr>
            <w:r>
              <w:rPr>
                <w:color w:val="000000"/>
                <w:lang w:val="en-US"/>
              </w:rPr>
              <w:t>Net Profit Margin</w:t>
            </w:r>
          </w:p>
        </w:tc>
        <w:tc>
          <w:tcPr>
            <w:tcW w:w="368" w:type="dxa"/>
          </w:tcPr>
          <w:p w14:paraId="0E2DB793" w14:textId="77777777" w:rsidR="002B59A8" w:rsidRDefault="002B59A8" w:rsidP="005B345A">
            <w:pPr>
              <w:jc w:val="both"/>
              <w:rPr>
                <w:color w:val="000000"/>
                <w:lang w:val="en-US"/>
              </w:rPr>
            </w:pPr>
            <w:r>
              <w:rPr>
                <w:color w:val="000000"/>
                <w:lang w:val="en-US"/>
              </w:rPr>
              <w:t>=</w:t>
            </w:r>
          </w:p>
        </w:tc>
        <w:tc>
          <w:tcPr>
            <w:tcW w:w="2037" w:type="dxa"/>
            <w:tcBorders>
              <w:bottom w:val="single" w:sz="4" w:space="0" w:color="auto"/>
            </w:tcBorders>
          </w:tcPr>
          <w:p w14:paraId="0AE82ED7" w14:textId="77777777" w:rsidR="002B59A8" w:rsidRDefault="002B59A8" w:rsidP="005B345A">
            <w:pPr>
              <w:jc w:val="center"/>
              <w:rPr>
                <w:color w:val="000000"/>
                <w:lang w:val="en-US"/>
              </w:rPr>
            </w:pPr>
            <w:r>
              <w:rPr>
                <w:color w:val="000000"/>
                <w:lang w:val="en-US"/>
              </w:rPr>
              <w:t>Laba Bersih</w:t>
            </w:r>
          </w:p>
        </w:tc>
        <w:tc>
          <w:tcPr>
            <w:tcW w:w="390" w:type="dxa"/>
            <w:vMerge w:val="restart"/>
            <w:vAlign w:val="center"/>
          </w:tcPr>
          <w:p w14:paraId="08599692" w14:textId="77777777" w:rsidR="002B59A8" w:rsidRDefault="002B59A8" w:rsidP="005B345A">
            <w:pPr>
              <w:jc w:val="center"/>
              <w:rPr>
                <w:color w:val="000000"/>
                <w:lang w:val="en-US"/>
              </w:rPr>
            </w:pPr>
            <w:r>
              <w:rPr>
                <w:color w:val="000000"/>
                <w:lang w:val="en-US"/>
              </w:rPr>
              <w:t>X</w:t>
            </w:r>
          </w:p>
        </w:tc>
        <w:tc>
          <w:tcPr>
            <w:tcW w:w="600" w:type="dxa"/>
            <w:vMerge w:val="restart"/>
            <w:vAlign w:val="center"/>
          </w:tcPr>
          <w:p w14:paraId="6FF215CF" w14:textId="77777777" w:rsidR="002B59A8" w:rsidRDefault="002B59A8" w:rsidP="005B345A">
            <w:pPr>
              <w:jc w:val="center"/>
              <w:rPr>
                <w:color w:val="000000"/>
                <w:lang w:val="en-US"/>
              </w:rPr>
            </w:pPr>
            <w:r>
              <w:rPr>
                <w:color w:val="000000"/>
                <w:lang w:val="en-US"/>
              </w:rPr>
              <w:t>100</w:t>
            </w:r>
          </w:p>
        </w:tc>
      </w:tr>
      <w:tr w:rsidR="002B59A8" w14:paraId="1A00ACAB" w14:textId="77777777" w:rsidTr="005B345A">
        <w:trPr>
          <w:jc w:val="center"/>
        </w:trPr>
        <w:tc>
          <w:tcPr>
            <w:tcW w:w="1915" w:type="dxa"/>
          </w:tcPr>
          <w:p w14:paraId="4B26BDDA" w14:textId="77777777" w:rsidR="002B59A8" w:rsidRDefault="002B59A8" w:rsidP="005B345A">
            <w:pPr>
              <w:jc w:val="both"/>
              <w:rPr>
                <w:color w:val="000000"/>
                <w:lang w:val="en-US"/>
              </w:rPr>
            </w:pPr>
          </w:p>
        </w:tc>
        <w:tc>
          <w:tcPr>
            <w:tcW w:w="368" w:type="dxa"/>
          </w:tcPr>
          <w:p w14:paraId="284E40D8" w14:textId="77777777" w:rsidR="002B59A8" w:rsidRDefault="002B59A8" w:rsidP="005B345A">
            <w:pPr>
              <w:jc w:val="both"/>
              <w:rPr>
                <w:color w:val="000000"/>
                <w:lang w:val="en-US"/>
              </w:rPr>
            </w:pPr>
          </w:p>
        </w:tc>
        <w:tc>
          <w:tcPr>
            <w:tcW w:w="2037" w:type="dxa"/>
            <w:tcBorders>
              <w:top w:val="single" w:sz="4" w:space="0" w:color="auto"/>
            </w:tcBorders>
          </w:tcPr>
          <w:p w14:paraId="5D1A607B" w14:textId="77777777" w:rsidR="002B59A8" w:rsidRDefault="002B59A8" w:rsidP="005B345A">
            <w:pPr>
              <w:jc w:val="center"/>
              <w:rPr>
                <w:color w:val="000000"/>
                <w:lang w:val="en-US"/>
              </w:rPr>
            </w:pPr>
            <w:r>
              <w:rPr>
                <w:color w:val="000000"/>
                <w:lang w:val="en-US"/>
              </w:rPr>
              <w:t>Pendapatan Total</w:t>
            </w:r>
          </w:p>
        </w:tc>
        <w:tc>
          <w:tcPr>
            <w:tcW w:w="390" w:type="dxa"/>
            <w:vMerge/>
          </w:tcPr>
          <w:p w14:paraId="57F4297F" w14:textId="77777777" w:rsidR="002B59A8" w:rsidRDefault="002B59A8" w:rsidP="005B345A">
            <w:pPr>
              <w:jc w:val="both"/>
              <w:rPr>
                <w:color w:val="000000"/>
                <w:lang w:val="en-US"/>
              </w:rPr>
            </w:pPr>
          </w:p>
        </w:tc>
        <w:tc>
          <w:tcPr>
            <w:tcW w:w="600" w:type="dxa"/>
            <w:vMerge/>
          </w:tcPr>
          <w:p w14:paraId="4CE8CCAB" w14:textId="77777777" w:rsidR="002B59A8" w:rsidRDefault="002B59A8" w:rsidP="005B345A">
            <w:pPr>
              <w:jc w:val="both"/>
              <w:rPr>
                <w:color w:val="000000"/>
                <w:lang w:val="en-US"/>
              </w:rPr>
            </w:pPr>
          </w:p>
        </w:tc>
      </w:tr>
    </w:tbl>
    <w:p w14:paraId="72E0C333" w14:textId="77777777" w:rsidR="002B59A8" w:rsidRDefault="002B59A8" w:rsidP="002B59A8">
      <w:pPr>
        <w:pBdr>
          <w:top w:val="nil"/>
          <w:left w:val="nil"/>
          <w:bottom w:val="nil"/>
          <w:right w:val="nil"/>
          <w:between w:val="nil"/>
        </w:pBdr>
        <w:ind w:left="180"/>
        <w:jc w:val="both"/>
        <w:rPr>
          <w:color w:val="000000"/>
        </w:rPr>
      </w:pPr>
    </w:p>
    <w:p w14:paraId="4E442453" w14:textId="5C34DBCA" w:rsidR="002B59A8" w:rsidRPr="002B59A8" w:rsidRDefault="002B59A8" w:rsidP="002B59A8">
      <w:pPr>
        <w:pBdr>
          <w:top w:val="nil"/>
          <w:left w:val="nil"/>
          <w:bottom w:val="nil"/>
          <w:right w:val="nil"/>
          <w:between w:val="nil"/>
        </w:pBdr>
        <w:ind w:left="180"/>
        <w:jc w:val="both"/>
        <w:rPr>
          <w:color w:val="000000"/>
        </w:rPr>
      </w:pPr>
      <w:r w:rsidRPr="002B59A8">
        <w:rPr>
          <w:color w:val="000000"/>
        </w:rPr>
        <w:t xml:space="preserve">Faktor-faktor yang mempengaruhi NPM juga perlu diperhatikan. Menurut Kadir dan Phang (2012: 20), beberapa faktor yang dapat memengaruhi NPM meliputi Current Ratio/Rasio Lancar, Debt Ratio/Rasio Hutang, Sales Growth/Pertumbuhan Penjualan, Inventory Turn Over Ratio/Perputaran Persediaan, Total Asset Turn Over/Perputaran Total Aset, Receivable Turn Over Ratio/Rasio Perputaran Piutang, dan Working Capital Turn Over Ratio/Rasio </w:t>
      </w:r>
      <w:r w:rsidRPr="002B59A8">
        <w:rPr>
          <w:color w:val="000000"/>
        </w:rPr>
        <w:lastRenderedPageBreak/>
        <w:t>Perputaran Modal Kerja. Faktor-faktor ini memberikan gambaran mengenai pengaruh kondisi keuangan dan operasional perusahaan terhadap NPM.</w:t>
      </w:r>
    </w:p>
    <w:p w14:paraId="6B12464F" w14:textId="5346BFB1" w:rsidR="002B59A8" w:rsidRPr="00BB0467" w:rsidRDefault="002B59A8" w:rsidP="002B59A8">
      <w:pPr>
        <w:pBdr>
          <w:top w:val="nil"/>
          <w:left w:val="nil"/>
          <w:bottom w:val="nil"/>
          <w:right w:val="nil"/>
          <w:between w:val="nil"/>
        </w:pBdr>
        <w:ind w:left="180"/>
        <w:jc w:val="both"/>
        <w:rPr>
          <w:color w:val="000000"/>
        </w:rPr>
      </w:pPr>
      <w:r w:rsidRPr="002B59A8">
        <w:rPr>
          <w:color w:val="000000"/>
        </w:rPr>
        <w:t>Pentingnya NPM sebagai indikator kinerja keuangan perusahaan tidak hanya terletak pada kalkulasi, tetapi juga pada interpretasi hasilnya. Tingginya NPM bukan hanya mencerminkan kinerja keuangan yang baik, tetapi juga dapat meningkatkan daya tarik investor untuk menginvestasikan modalnya. Oleh karena itu, pemahaman yang mendalam terkait teori dan pengukuran NPM sangat penting dalam menganalisis kesehatan finansial suatu perusahaan.</w:t>
      </w:r>
    </w:p>
    <w:p w14:paraId="7FC6FE2C" w14:textId="77777777" w:rsidR="00BB0467" w:rsidRPr="00BB0467" w:rsidRDefault="00BB0467" w:rsidP="00BB0467">
      <w:pPr>
        <w:pBdr>
          <w:top w:val="nil"/>
          <w:left w:val="nil"/>
          <w:bottom w:val="nil"/>
          <w:right w:val="nil"/>
          <w:between w:val="nil"/>
        </w:pBdr>
        <w:ind w:left="180"/>
        <w:jc w:val="both"/>
        <w:rPr>
          <w:b/>
          <w:bCs/>
          <w:i/>
          <w:iCs/>
          <w:color w:val="000000"/>
        </w:rPr>
      </w:pPr>
    </w:p>
    <w:p w14:paraId="77B14534" w14:textId="6D7C8BEF" w:rsidR="00BB0467" w:rsidRDefault="00BB0467" w:rsidP="00BB0467">
      <w:pPr>
        <w:pBdr>
          <w:top w:val="nil"/>
          <w:left w:val="nil"/>
          <w:bottom w:val="nil"/>
          <w:right w:val="nil"/>
          <w:between w:val="nil"/>
        </w:pBdr>
        <w:ind w:left="180"/>
        <w:jc w:val="both"/>
        <w:rPr>
          <w:b/>
          <w:bCs/>
          <w:i/>
          <w:iCs/>
          <w:color w:val="000000"/>
        </w:rPr>
      </w:pPr>
      <w:r w:rsidRPr="00BB0467">
        <w:rPr>
          <w:b/>
          <w:bCs/>
          <w:i/>
          <w:iCs/>
          <w:color w:val="000000"/>
        </w:rPr>
        <w:t>Current Ratio</w:t>
      </w:r>
    </w:p>
    <w:p w14:paraId="07C9B67E" w14:textId="77777777" w:rsidR="00DD0A41" w:rsidRPr="00DD0A41" w:rsidRDefault="00DD0A41" w:rsidP="00DD0A41">
      <w:pPr>
        <w:pBdr>
          <w:top w:val="nil"/>
          <w:left w:val="nil"/>
          <w:bottom w:val="nil"/>
          <w:right w:val="nil"/>
          <w:between w:val="nil"/>
        </w:pBdr>
        <w:ind w:left="180"/>
        <w:jc w:val="both"/>
        <w:rPr>
          <w:color w:val="000000"/>
        </w:rPr>
      </w:pPr>
      <w:r w:rsidRPr="00DD0A41">
        <w:rPr>
          <w:color w:val="000000"/>
        </w:rPr>
        <w:t>Rasio Lancar (Current Ratio) memberikan pandangan terhadap kemampuan perusahaan untuk menutupi kewajiban jangka pendek dengan aset lancar. Harahap (2018: 301) mendefinisikannya sebagai perbandingan aktiva lancar dengan utang lancar, di mana perbandingan yang lebih tinggi menandakan kemampuan yang lebih besar dalam menutupi kewajiban jangka pendek. Current Ratio dapat dianggap sebagai penilaian keamanan atau margin of safety perusahaan, menurut Kasmir (2014: 134), karena perusahaan yang mampu memenuhi kewajiban keuangannya tepat waktu dapat mendapatkan peringkat obligasi yang lebih baik (Halim, 2015: 76).</w:t>
      </w:r>
    </w:p>
    <w:p w14:paraId="3C82B5E5" w14:textId="7B624DC7" w:rsidR="00BB0467" w:rsidRDefault="00DD0A41" w:rsidP="00DD0A41">
      <w:pPr>
        <w:pBdr>
          <w:top w:val="nil"/>
          <w:left w:val="nil"/>
          <w:bottom w:val="nil"/>
          <w:right w:val="nil"/>
          <w:between w:val="nil"/>
        </w:pBdr>
        <w:ind w:left="180"/>
        <w:jc w:val="both"/>
        <w:rPr>
          <w:color w:val="000000"/>
        </w:rPr>
      </w:pPr>
      <w:r w:rsidRPr="00DD0A41">
        <w:rPr>
          <w:color w:val="000000"/>
        </w:rPr>
        <w:t>Sudana (2011: 74) memandang Current Ratio sebagai ukuran relatif untuk melihat likuiditas perusahaan dengan membandingkan aktiva lancar dan utang lancar. Fraser dan Ormiston (2018: 223) menambahkan dimensi solvensi jangka pendek, di mana rasio antara aset dan utang lancar menggambarkan kemampuan perusahaan untuk memenuhi kewajiban lancar tersebut.</w:t>
      </w:r>
    </w:p>
    <w:p w14:paraId="38BF7175" w14:textId="5FDD0C36" w:rsidR="00DD0A41" w:rsidRDefault="00DD0A41" w:rsidP="00DD0A41">
      <w:pPr>
        <w:pBdr>
          <w:top w:val="nil"/>
          <w:left w:val="nil"/>
          <w:bottom w:val="nil"/>
          <w:right w:val="nil"/>
          <w:between w:val="nil"/>
        </w:pBdr>
        <w:ind w:left="180"/>
        <w:jc w:val="both"/>
        <w:rPr>
          <w:color w:val="000000"/>
        </w:rPr>
      </w:pPr>
      <w:r w:rsidRPr="00DD0A41">
        <w:rPr>
          <w:color w:val="000000"/>
        </w:rPr>
        <w:t>Harahap (2018: 301) menjelaskan bahwa indikator dalam mengukur Current Ratio adalah persentase perbandingan antara aset lancar dan utang lancar. Aset lancar mencakup kas, surat berharga, piutang usaha, persediaan, dan beban yang dibayar dimuka, sementara utang lancar mencakup utang usaha, utang bank, pajak terutang, upah terutang, dan wesel bayar. Current Ratio yang tinggi, seperti yang ditunjukkan oleh rumus:</w:t>
      </w:r>
    </w:p>
    <w:p w14:paraId="58620198" w14:textId="77777777" w:rsidR="00CC03A7" w:rsidRDefault="00CC03A7" w:rsidP="00DD0A41">
      <w:pPr>
        <w:pBdr>
          <w:top w:val="nil"/>
          <w:left w:val="nil"/>
          <w:bottom w:val="nil"/>
          <w:right w:val="nil"/>
          <w:between w:val="nil"/>
        </w:pBdr>
        <w:ind w:left="180"/>
        <w:jc w:val="both"/>
        <w:rPr>
          <w:color w:val="00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379"/>
        <w:gridCol w:w="1980"/>
        <w:gridCol w:w="390"/>
        <w:gridCol w:w="601"/>
      </w:tblGrid>
      <w:tr w:rsidR="00CC03A7" w14:paraId="1F02F1DF" w14:textId="77777777" w:rsidTr="00CC03A7">
        <w:trPr>
          <w:jc w:val="center"/>
        </w:trPr>
        <w:tc>
          <w:tcPr>
            <w:tcW w:w="1775" w:type="dxa"/>
            <w:vMerge w:val="restart"/>
            <w:vAlign w:val="center"/>
          </w:tcPr>
          <w:p w14:paraId="6FF66F2B" w14:textId="7209EE68" w:rsidR="00CC03A7" w:rsidRDefault="00CC03A7" w:rsidP="00CC03A7">
            <w:pPr>
              <w:jc w:val="center"/>
              <w:rPr>
                <w:color w:val="000000"/>
              </w:rPr>
            </w:pPr>
            <w:r w:rsidRPr="00E12DC0">
              <w:rPr>
                <w:color w:val="000000"/>
                <w:lang w:val="en-US"/>
              </w:rPr>
              <w:t>Current Ratio</w:t>
            </w:r>
          </w:p>
        </w:tc>
        <w:tc>
          <w:tcPr>
            <w:tcW w:w="379" w:type="dxa"/>
            <w:vMerge w:val="restart"/>
            <w:vAlign w:val="center"/>
          </w:tcPr>
          <w:p w14:paraId="5C13AC65" w14:textId="6EFAB5BC" w:rsidR="00CC03A7" w:rsidRPr="00CC03A7" w:rsidRDefault="00CC03A7" w:rsidP="00CC03A7">
            <w:pPr>
              <w:jc w:val="center"/>
              <w:rPr>
                <w:color w:val="000000"/>
                <w:lang w:val="en-US"/>
              </w:rPr>
            </w:pPr>
            <w:r>
              <w:rPr>
                <w:color w:val="000000"/>
                <w:lang w:val="en-US"/>
              </w:rPr>
              <w:t>=</w:t>
            </w:r>
          </w:p>
        </w:tc>
        <w:tc>
          <w:tcPr>
            <w:tcW w:w="1980" w:type="dxa"/>
            <w:tcBorders>
              <w:bottom w:val="single" w:sz="4" w:space="0" w:color="auto"/>
            </w:tcBorders>
            <w:vAlign w:val="center"/>
          </w:tcPr>
          <w:p w14:paraId="79C98E8E" w14:textId="54C4E384" w:rsidR="00CC03A7" w:rsidRDefault="00CC03A7" w:rsidP="00CC03A7">
            <w:pPr>
              <w:jc w:val="center"/>
              <w:rPr>
                <w:color w:val="000000"/>
              </w:rPr>
            </w:pPr>
            <w:r>
              <w:rPr>
                <w:color w:val="000000"/>
                <w:lang w:val="en-US"/>
              </w:rPr>
              <w:t>Current Asset</w:t>
            </w:r>
          </w:p>
        </w:tc>
        <w:tc>
          <w:tcPr>
            <w:tcW w:w="390" w:type="dxa"/>
            <w:vMerge w:val="restart"/>
            <w:vAlign w:val="center"/>
          </w:tcPr>
          <w:p w14:paraId="446EE50E" w14:textId="5F3A6C23" w:rsidR="00CC03A7" w:rsidRPr="00CC03A7" w:rsidRDefault="00CC03A7" w:rsidP="00CC03A7">
            <w:pPr>
              <w:jc w:val="center"/>
              <w:rPr>
                <w:color w:val="000000"/>
                <w:lang w:val="en-US"/>
              </w:rPr>
            </w:pPr>
            <w:r>
              <w:rPr>
                <w:color w:val="000000"/>
                <w:lang w:val="en-US"/>
              </w:rPr>
              <w:t>X</w:t>
            </w:r>
          </w:p>
        </w:tc>
        <w:tc>
          <w:tcPr>
            <w:tcW w:w="601" w:type="dxa"/>
            <w:vMerge w:val="restart"/>
            <w:vAlign w:val="center"/>
          </w:tcPr>
          <w:p w14:paraId="6D563382" w14:textId="556157B7" w:rsidR="00CC03A7" w:rsidRPr="00CC03A7" w:rsidRDefault="00CC03A7" w:rsidP="00CC03A7">
            <w:pPr>
              <w:jc w:val="center"/>
              <w:rPr>
                <w:color w:val="000000"/>
                <w:lang w:val="en-US"/>
              </w:rPr>
            </w:pPr>
            <w:r>
              <w:rPr>
                <w:color w:val="000000"/>
                <w:lang w:val="en-US"/>
              </w:rPr>
              <w:t>100</w:t>
            </w:r>
          </w:p>
        </w:tc>
      </w:tr>
      <w:tr w:rsidR="00CC03A7" w14:paraId="602048AA" w14:textId="77777777" w:rsidTr="00CC03A7">
        <w:trPr>
          <w:jc w:val="center"/>
        </w:trPr>
        <w:tc>
          <w:tcPr>
            <w:tcW w:w="1775" w:type="dxa"/>
            <w:vMerge/>
          </w:tcPr>
          <w:p w14:paraId="4F05C45D" w14:textId="77777777" w:rsidR="00CC03A7" w:rsidRDefault="00CC03A7" w:rsidP="00DD0A41">
            <w:pPr>
              <w:jc w:val="both"/>
              <w:rPr>
                <w:color w:val="000000"/>
              </w:rPr>
            </w:pPr>
          </w:p>
        </w:tc>
        <w:tc>
          <w:tcPr>
            <w:tcW w:w="379" w:type="dxa"/>
            <w:vMerge/>
          </w:tcPr>
          <w:p w14:paraId="2B4B0126" w14:textId="77777777" w:rsidR="00CC03A7" w:rsidRDefault="00CC03A7" w:rsidP="00DD0A41">
            <w:pPr>
              <w:jc w:val="both"/>
              <w:rPr>
                <w:color w:val="000000"/>
              </w:rPr>
            </w:pPr>
          </w:p>
        </w:tc>
        <w:tc>
          <w:tcPr>
            <w:tcW w:w="1980" w:type="dxa"/>
            <w:tcBorders>
              <w:top w:val="single" w:sz="4" w:space="0" w:color="auto"/>
            </w:tcBorders>
          </w:tcPr>
          <w:p w14:paraId="7777CEB7" w14:textId="40FF00C3" w:rsidR="00CC03A7" w:rsidRDefault="00CC03A7" w:rsidP="00DD0A41">
            <w:pPr>
              <w:jc w:val="both"/>
              <w:rPr>
                <w:color w:val="000000"/>
              </w:rPr>
            </w:pPr>
            <w:r>
              <w:rPr>
                <w:color w:val="000000"/>
                <w:lang w:val="en-US"/>
              </w:rPr>
              <w:t>Current Liabilities</w:t>
            </w:r>
          </w:p>
        </w:tc>
        <w:tc>
          <w:tcPr>
            <w:tcW w:w="390" w:type="dxa"/>
            <w:vMerge/>
          </w:tcPr>
          <w:p w14:paraId="4A42405C" w14:textId="77777777" w:rsidR="00CC03A7" w:rsidRDefault="00CC03A7" w:rsidP="00DD0A41">
            <w:pPr>
              <w:jc w:val="both"/>
              <w:rPr>
                <w:color w:val="000000"/>
              </w:rPr>
            </w:pPr>
          </w:p>
        </w:tc>
        <w:tc>
          <w:tcPr>
            <w:tcW w:w="601" w:type="dxa"/>
            <w:vMerge/>
          </w:tcPr>
          <w:p w14:paraId="6AABE941" w14:textId="77777777" w:rsidR="00CC03A7" w:rsidRDefault="00CC03A7" w:rsidP="00DD0A41">
            <w:pPr>
              <w:jc w:val="both"/>
              <w:rPr>
                <w:color w:val="000000"/>
              </w:rPr>
            </w:pPr>
          </w:p>
        </w:tc>
      </w:tr>
    </w:tbl>
    <w:p w14:paraId="565BCEB0" w14:textId="77777777" w:rsidR="00DD0A41" w:rsidRDefault="00DD0A41" w:rsidP="00DD0A41">
      <w:pPr>
        <w:pBdr>
          <w:top w:val="nil"/>
          <w:left w:val="nil"/>
          <w:bottom w:val="nil"/>
          <w:right w:val="nil"/>
          <w:between w:val="nil"/>
        </w:pBdr>
        <w:ind w:left="180"/>
        <w:jc w:val="both"/>
        <w:rPr>
          <w:color w:val="000000"/>
        </w:rPr>
      </w:pPr>
    </w:p>
    <w:p w14:paraId="7A687676" w14:textId="1C3CCA62" w:rsidR="00DD0A41" w:rsidRDefault="00956B90" w:rsidP="00DD0A41">
      <w:pPr>
        <w:pBdr>
          <w:top w:val="nil"/>
          <w:left w:val="nil"/>
          <w:bottom w:val="nil"/>
          <w:right w:val="nil"/>
          <w:between w:val="nil"/>
        </w:pBdr>
        <w:ind w:left="180"/>
        <w:jc w:val="both"/>
        <w:rPr>
          <w:color w:val="000000"/>
        </w:rPr>
      </w:pPr>
      <w:r>
        <w:rPr>
          <w:color w:val="000000"/>
          <w:lang w:val="en-US"/>
        </w:rPr>
        <w:t>M</w:t>
      </w:r>
      <w:r w:rsidR="00DD0A41" w:rsidRPr="00DD0A41">
        <w:rPr>
          <w:color w:val="000000"/>
        </w:rPr>
        <w:t>enunjukkan kemampuan perusahaan untuk menutupi kewajiban finansial jangka pendek, namun tingginya Current Ratio juga dapat diartikan sebagai kurang produktif bagi perusahaan.</w:t>
      </w:r>
    </w:p>
    <w:p w14:paraId="696083E7" w14:textId="77777777" w:rsidR="00CC03A7" w:rsidRDefault="00CC03A7" w:rsidP="00DD0A41">
      <w:pPr>
        <w:pBdr>
          <w:top w:val="nil"/>
          <w:left w:val="nil"/>
          <w:bottom w:val="nil"/>
          <w:right w:val="nil"/>
          <w:between w:val="nil"/>
        </w:pBdr>
        <w:ind w:left="180"/>
        <w:jc w:val="both"/>
        <w:rPr>
          <w:color w:val="000000"/>
        </w:rPr>
      </w:pPr>
    </w:p>
    <w:p w14:paraId="187F4B51" w14:textId="55E51492" w:rsidR="00BB0467" w:rsidRPr="00BB0467" w:rsidRDefault="00BB0467" w:rsidP="00BB0467">
      <w:pPr>
        <w:pBdr>
          <w:top w:val="nil"/>
          <w:left w:val="nil"/>
          <w:bottom w:val="nil"/>
          <w:right w:val="nil"/>
          <w:between w:val="nil"/>
        </w:pBdr>
        <w:ind w:left="180"/>
        <w:jc w:val="both"/>
        <w:rPr>
          <w:b/>
          <w:bCs/>
          <w:i/>
          <w:iCs/>
          <w:color w:val="000000"/>
        </w:rPr>
      </w:pPr>
      <w:r w:rsidRPr="00BB0467">
        <w:rPr>
          <w:b/>
          <w:bCs/>
          <w:i/>
          <w:iCs/>
          <w:color w:val="000000"/>
        </w:rPr>
        <w:t xml:space="preserve">Debt To Asset Ratio </w:t>
      </w:r>
    </w:p>
    <w:p w14:paraId="325642E6" w14:textId="15F916CE" w:rsidR="00CC03A7" w:rsidRPr="00CC03A7" w:rsidRDefault="00CC03A7" w:rsidP="00CC03A7">
      <w:pPr>
        <w:pBdr>
          <w:top w:val="nil"/>
          <w:left w:val="nil"/>
          <w:bottom w:val="nil"/>
          <w:right w:val="nil"/>
          <w:between w:val="nil"/>
        </w:pBdr>
        <w:ind w:left="180"/>
        <w:jc w:val="both"/>
        <w:rPr>
          <w:color w:val="000000"/>
        </w:rPr>
      </w:pPr>
      <w:r w:rsidRPr="00432708">
        <w:rPr>
          <w:i/>
          <w:iCs/>
          <w:color w:val="000000"/>
        </w:rPr>
        <w:t>Debt to Asset Ratio</w:t>
      </w:r>
      <w:r w:rsidRPr="00CC03A7">
        <w:rPr>
          <w:color w:val="000000"/>
        </w:rPr>
        <w:t xml:space="preserve"> </w:t>
      </w:r>
      <w:r>
        <w:rPr>
          <w:color w:val="000000"/>
          <w:lang w:val="en-US"/>
        </w:rPr>
        <w:t>merupakan</w:t>
      </w:r>
      <w:r w:rsidRPr="00CC03A7">
        <w:rPr>
          <w:color w:val="000000"/>
        </w:rPr>
        <w:t xml:space="preserve"> rasio yang memberikan gambaran tentang sejauh mana aset perusahaan didanai oleh utang. Menurut Horne dan Wachowicz (2015: 210), rasio ini menyoroti peran krusial pendanaan utang dalam struktur keuangan perusahaan. Tingkat DAR yang tinggi menandakan risiko keuangan yang lebih besar, sementara tingkat yang rendah mengindikasikan risiko keuangan yang lebih terkendali. Rumus perhitungan DAR adalah 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60"/>
        <w:gridCol w:w="3600"/>
      </w:tblGrid>
      <w:tr w:rsidR="00432708" w14:paraId="6632C995" w14:textId="77777777" w:rsidTr="005B345A">
        <w:trPr>
          <w:jc w:val="center"/>
        </w:trPr>
        <w:tc>
          <w:tcPr>
            <w:tcW w:w="2965" w:type="dxa"/>
            <w:vMerge w:val="restart"/>
            <w:vAlign w:val="center"/>
          </w:tcPr>
          <w:p w14:paraId="3D43EF78" w14:textId="20682949" w:rsidR="00432708" w:rsidRDefault="00432708" w:rsidP="005B345A">
            <w:pPr>
              <w:pBdr>
                <w:top w:val="nil"/>
                <w:left w:val="nil"/>
                <w:bottom w:val="nil"/>
                <w:right w:val="nil"/>
                <w:between w:val="nil"/>
              </w:pBdr>
              <w:ind w:left="180"/>
              <w:jc w:val="center"/>
              <w:rPr>
                <w:color w:val="000000"/>
                <w:lang w:val="en-US"/>
              </w:rPr>
            </w:pPr>
            <w:r w:rsidRPr="00432708">
              <w:rPr>
                <w:i/>
                <w:iCs/>
                <w:color w:val="000000"/>
              </w:rPr>
              <w:t>Debt to Asset Ratio</w:t>
            </w:r>
          </w:p>
        </w:tc>
        <w:tc>
          <w:tcPr>
            <w:tcW w:w="360" w:type="dxa"/>
            <w:vMerge w:val="restart"/>
            <w:vAlign w:val="center"/>
          </w:tcPr>
          <w:p w14:paraId="7246A55C" w14:textId="77777777" w:rsidR="00432708" w:rsidRDefault="00432708" w:rsidP="005B345A">
            <w:pPr>
              <w:jc w:val="center"/>
              <w:rPr>
                <w:color w:val="000000"/>
                <w:lang w:val="en-US"/>
              </w:rPr>
            </w:pPr>
            <w:r>
              <w:rPr>
                <w:color w:val="000000"/>
                <w:lang w:val="en-US"/>
              </w:rPr>
              <w:t>=</w:t>
            </w:r>
          </w:p>
        </w:tc>
        <w:tc>
          <w:tcPr>
            <w:tcW w:w="3600" w:type="dxa"/>
          </w:tcPr>
          <w:p w14:paraId="1B42A14D" w14:textId="766C727E" w:rsidR="00432708" w:rsidRDefault="00432708" w:rsidP="00432708">
            <w:pPr>
              <w:pBdr>
                <w:top w:val="nil"/>
                <w:left w:val="nil"/>
                <w:bottom w:val="single" w:sz="4" w:space="1" w:color="auto"/>
                <w:right w:val="nil"/>
                <w:between w:val="nil"/>
              </w:pBdr>
              <w:ind w:left="180"/>
              <w:jc w:val="center"/>
              <w:rPr>
                <w:color w:val="000000"/>
                <w:lang w:val="en-US"/>
              </w:rPr>
            </w:pPr>
            <w:r w:rsidRPr="00432708">
              <w:rPr>
                <w:color w:val="000000"/>
                <w:lang w:val="en-US"/>
              </w:rPr>
              <w:t>Total Liabilities</w:t>
            </w:r>
          </w:p>
        </w:tc>
      </w:tr>
      <w:tr w:rsidR="00432708" w14:paraId="038CBC20" w14:textId="77777777" w:rsidTr="005B345A">
        <w:trPr>
          <w:jc w:val="center"/>
        </w:trPr>
        <w:tc>
          <w:tcPr>
            <w:tcW w:w="2965" w:type="dxa"/>
            <w:vMerge/>
          </w:tcPr>
          <w:p w14:paraId="456C4553" w14:textId="77777777" w:rsidR="00432708" w:rsidRDefault="00432708" w:rsidP="005B345A">
            <w:pPr>
              <w:jc w:val="both"/>
              <w:rPr>
                <w:color w:val="000000"/>
                <w:lang w:val="en-US"/>
              </w:rPr>
            </w:pPr>
          </w:p>
        </w:tc>
        <w:tc>
          <w:tcPr>
            <w:tcW w:w="360" w:type="dxa"/>
            <w:vMerge/>
          </w:tcPr>
          <w:p w14:paraId="65AC6614" w14:textId="77777777" w:rsidR="00432708" w:rsidRDefault="00432708" w:rsidP="005B345A">
            <w:pPr>
              <w:jc w:val="both"/>
              <w:rPr>
                <w:color w:val="000000"/>
                <w:lang w:val="en-US"/>
              </w:rPr>
            </w:pPr>
          </w:p>
        </w:tc>
        <w:tc>
          <w:tcPr>
            <w:tcW w:w="3600" w:type="dxa"/>
          </w:tcPr>
          <w:p w14:paraId="21D500CF" w14:textId="13EDC50C" w:rsidR="00432708" w:rsidRDefault="00432708" w:rsidP="005B345A">
            <w:pPr>
              <w:pBdr>
                <w:top w:val="nil"/>
                <w:left w:val="nil"/>
                <w:bottom w:val="nil"/>
                <w:right w:val="nil"/>
                <w:between w:val="nil"/>
              </w:pBdr>
              <w:ind w:left="180"/>
              <w:jc w:val="center"/>
              <w:rPr>
                <w:color w:val="000000"/>
                <w:lang w:val="en-US"/>
              </w:rPr>
            </w:pPr>
            <w:r>
              <w:rPr>
                <w:color w:val="000000"/>
                <w:lang w:val="en-US"/>
              </w:rPr>
              <w:t>Total Assets</w:t>
            </w:r>
          </w:p>
        </w:tc>
      </w:tr>
    </w:tbl>
    <w:p w14:paraId="32513511" w14:textId="77777777" w:rsidR="00CC03A7" w:rsidRPr="00CC03A7" w:rsidRDefault="00CC03A7" w:rsidP="00CC03A7">
      <w:pPr>
        <w:pBdr>
          <w:top w:val="nil"/>
          <w:left w:val="nil"/>
          <w:bottom w:val="nil"/>
          <w:right w:val="nil"/>
          <w:between w:val="nil"/>
        </w:pBdr>
        <w:ind w:left="180"/>
        <w:jc w:val="both"/>
        <w:rPr>
          <w:color w:val="000000"/>
        </w:rPr>
      </w:pPr>
    </w:p>
    <w:p w14:paraId="61C8A533" w14:textId="77777777" w:rsidR="00CC03A7" w:rsidRPr="00CC03A7" w:rsidRDefault="00CC03A7" w:rsidP="00CC03A7">
      <w:pPr>
        <w:pBdr>
          <w:top w:val="nil"/>
          <w:left w:val="nil"/>
          <w:bottom w:val="nil"/>
          <w:right w:val="nil"/>
          <w:between w:val="nil"/>
        </w:pBdr>
        <w:ind w:left="180"/>
        <w:jc w:val="both"/>
        <w:rPr>
          <w:color w:val="000000"/>
        </w:rPr>
      </w:pPr>
      <w:r w:rsidRPr="00CC03A7">
        <w:rPr>
          <w:color w:val="000000"/>
        </w:rPr>
        <w:t xml:space="preserve">Rasio ini memberikan persentase dari total aset perusahaan yang dibiayai oleh utang. Secara umum, semakin rendah rasio ini, semakin baik, menunjukkan bahwa perusahaan memiliki proporsi utang yang lebih kecil dalam struktur keuangannya. Sebaliknya, DAR yang tinggi </w:t>
      </w:r>
      <w:r w:rsidRPr="00CC03A7">
        <w:rPr>
          <w:color w:val="000000"/>
        </w:rPr>
        <w:lastRenderedPageBreak/>
        <w:t>menunjukkan sebagian besar aset perusahaan didanai oleh utang, yang dapat meningkatkan risiko keuangan.</w:t>
      </w:r>
    </w:p>
    <w:p w14:paraId="01084A66" w14:textId="77777777" w:rsidR="00CC03A7" w:rsidRPr="00CC03A7" w:rsidRDefault="00CC03A7" w:rsidP="00CC03A7">
      <w:pPr>
        <w:pBdr>
          <w:top w:val="nil"/>
          <w:left w:val="nil"/>
          <w:bottom w:val="nil"/>
          <w:right w:val="nil"/>
          <w:between w:val="nil"/>
        </w:pBdr>
        <w:ind w:left="180"/>
        <w:jc w:val="both"/>
        <w:rPr>
          <w:color w:val="000000"/>
        </w:rPr>
      </w:pPr>
      <w:r w:rsidRPr="00CC03A7">
        <w:rPr>
          <w:color w:val="000000"/>
        </w:rPr>
        <w:t>Hery (2016: 166) menjelaskan bahwa Debt to Asset Ratio digunakan untuk mengukur sejauh mana aset perusahaan dibiayai oleh utang, menunjukkan seberapa besar utang perusahaan berpengaruh terhadap pembiayaan aset. Kasmir (2014: 122) menambahkan bahwa rasio ini membandingkan total aset dengan total utang, mengukur sejauh mana aset perusahaan didanai oleh utang. Jadi, DAR memberikan gambaran tentang proporsi aset yang dibiayai oleh utang.</w:t>
      </w:r>
    </w:p>
    <w:p w14:paraId="5FE6B5B2" w14:textId="41D4A230" w:rsidR="00BB0467" w:rsidRDefault="00CC03A7" w:rsidP="00CC03A7">
      <w:pPr>
        <w:pBdr>
          <w:top w:val="nil"/>
          <w:left w:val="nil"/>
          <w:bottom w:val="nil"/>
          <w:right w:val="nil"/>
          <w:between w:val="nil"/>
        </w:pBdr>
        <w:ind w:left="180"/>
        <w:jc w:val="both"/>
        <w:rPr>
          <w:color w:val="000000"/>
        </w:rPr>
      </w:pPr>
      <w:r w:rsidRPr="00CC03A7">
        <w:rPr>
          <w:color w:val="000000"/>
        </w:rPr>
        <w:t>Indikator ini menunjukkan perbandingan antara utang dan aktiva perusahaan. Tingkat DAR yang rendah mengindikasikan bahwa utang perusahaan relatif sedikit dibandingkan dengan total asetnya, yang dapat diartikan sebagai manajemen risiko keuangan yang baik. Sebaliknya, DAR yang tinggi menunjukkan bahwa sebagian besar aset didanai oleh utang, yang dapat meningkatkan risiko finansial perusahaan. Oleh karena itu, pemahaman terhadap Debt to Asset Ratio menjadi kunci dalam mengevaluasi struktur keuangan dan risiko perusahaan.</w:t>
      </w:r>
    </w:p>
    <w:p w14:paraId="44DE2BB6" w14:textId="77777777" w:rsidR="00432708" w:rsidRPr="00BB0467" w:rsidRDefault="00432708" w:rsidP="00CC03A7">
      <w:pPr>
        <w:pBdr>
          <w:top w:val="nil"/>
          <w:left w:val="nil"/>
          <w:bottom w:val="nil"/>
          <w:right w:val="nil"/>
          <w:between w:val="nil"/>
        </w:pBdr>
        <w:ind w:left="180"/>
        <w:jc w:val="both"/>
        <w:rPr>
          <w:color w:val="000000"/>
        </w:rPr>
      </w:pPr>
    </w:p>
    <w:p w14:paraId="15F3BFBD" w14:textId="6FB3CDAF" w:rsidR="00BB0467" w:rsidRPr="00BB0467" w:rsidRDefault="00BB0467" w:rsidP="00BB0467">
      <w:pPr>
        <w:pBdr>
          <w:top w:val="nil"/>
          <w:left w:val="nil"/>
          <w:bottom w:val="nil"/>
          <w:right w:val="nil"/>
          <w:between w:val="nil"/>
        </w:pBdr>
        <w:ind w:left="180"/>
        <w:jc w:val="both"/>
        <w:rPr>
          <w:b/>
          <w:bCs/>
          <w:i/>
          <w:iCs/>
          <w:color w:val="000000"/>
        </w:rPr>
      </w:pPr>
      <w:r w:rsidRPr="00BB0467">
        <w:rPr>
          <w:b/>
          <w:bCs/>
          <w:i/>
          <w:iCs/>
          <w:color w:val="000000"/>
        </w:rPr>
        <w:t xml:space="preserve">Total Asset Turn Over </w:t>
      </w:r>
    </w:p>
    <w:p w14:paraId="48626265" w14:textId="77777777" w:rsidR="00956B90" w:rsidRPr="00956B90" w:rsidRDefault="00956B90" w:rsidP="00956B90">
      <w:pPr>
        <w:pBdr>
          <w:top w:val="nil"/>
          <w:left w:val="nil"/>
          <w:bottom w:val="nil"/>
          <w:right w:val="nil"/>
          <w:between w:val="nil"/>
        </w:pBdr>
        <w:ind w:left="180"/>
        <w:jc w:val="both"/>
        <w:rPr>
          <w:color w:val="000000"/>
        </w:rPr>
      </w:pPr>
      <w:r w:rsidRPr="00956B90">
        <w:rPr>
          <w:color w:val="000000"/>
        </w:rPr>
        <w:t>Perputaran total aset (Total Asset Turn Over atau TATO) merupakan indikator penting yang memberikan gambaran tentang efisiensi penggunaan keseluruhan aset perusahaan dalam mendukung volume penjualan. Lukman Syamsuddin (2011: 62) mendefinisikan TATO sebagai perputaran aktiva perusahaan yang mencerminkan tingkat efisiensi dalam penggunaan aset secara keseluruhan. Dengan kata lain, TATO mengukur sejauh mana aset perusahaan dioperasikan untuk mendukung penjualan.</w:t>
      </w:r>
    </w:p>
    <w:p w14:paraId="423E2A02" w14:textId="3412B123" w:rsidR="00BB0467" w:rsidRDefault="00956B90" w:rsidP="00956B90">
      <w:pPr>
        <w:pBdr>
          <w:top w:val="nil"/>
          <w:left w:val="nil"/>
          <w:bottom w:val="nil"/>
          <w:right w:val="nil"/>
          <w:between w:val="nil"/>
        </w:pBdr>
        <w:ind w:left="180"/>
        <w:jc w:val="both"/>
        <w:rPr>
          <w:color w:val="000000"/>
        </w:rPr>
      </w:pPr>
      <w:r w:rsidRPr="00956B90">
        <w:rPr>
          <w:color w:val="000000"/>
        </w:rPr>
        <w:t>Brigham dan Houston (2015: 139) menambahkan bahwa TATO adalah rasio yang mengukur perputaran seluruh aset perusahaan. Perhitungannya dilakukan dengan membagi penjualan oleh total aset perusahaan. J. P. Sitanggang (2014: 27) menjelaskan bahwa TATO mengindikasikan bagaimana seluruh aktiva perusahaan dioperasionalkan untuk mendukung penjualan, mengukur efisiensi dan efektivitas penggunaan aktiva dalam menghasilkan penjualan.</w:t>
      </w:r>
    </w:p>
    <w:p w14:paraId="7A85567F" w14:textId="6227A1DF" w:rsidR="00956B90" w:rsidRDefault="00956B90" w:rsidP="00956B90">
      <w:pPr>
        <w:pBdr>
          <w:top w:val="nil"/>
          <w:left w:val="nil"/>
          <w:bottom w:val="nil"/>
          <w:right w:val="nil"/>
          <w:between w:val="nil"/>
        </w:pBdr>
        <w:ind w:left="180"/>
        <w:jc w:val="both"/>
        <w:rPr>
          <w:color w:val="000000"/>
        </w:rPr>
      </w:pPr>
      <w:r w:rsidRPr="00956B90">
        <w:rPr>
          <w:color w:val="000000"/>
        </w:rPr>
        <w:t>Rumus Total Asset Turn Over (TATO) yang dikemukakan oleh Kasmir (2014: 184) adalah sebagai berikut:</w:t>
      </w:r>
    </w:p>
    <w:p w14:paraId="4780CEE3" w14:textId="77777777" w:rsidR="00956B90" w:rsidRDefault="00956B90" w:rsidP="00956B90">
      <w:pPr>
        <w:pBdr>
          <w:top w:val="nil"/>
          <w:left w:val="nil"/>
          <w:bottom w:val="nil"/>
          <w:right w:val="nil"/>
          <w:between w:val="nil"/>
        </w:pBdr>
        <w:ind w:left="180"/>
        <w:jc w:val="both"/>
        <w:rPr>
          <w:color w:val="00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379"/>
        <w:gridCol w:w="1980"/>
        <w:gridCol w:w="390"/>
        <w:gridCol w:w="601"/>
      </w:tblGrid>
      <w:tr w:rsidR="00956B90" w14:paraId="417A1257" w14:textId="77777777" w:rsidTr="00956B90">
        <w:trPr>
          <w:jc w:val="center"/>
        </w:trPr>
        <w:tc>
          <w:tcPr>
            <w:tcW w:w="3305" w:type="dxa"/>
            <w:vMerge w:val="restart"/>
            <w:vAlign w:val="center"/>
          </w:tcPr>
          <w:p w14:paraId="71FC4DE1" w14:textId="21ECB089" w:rsidR="00956B90" w:rsidRDefault="00956B90" w:rsidP="005B345A">
            <w:pPr>
              <w:jc w:val="center"/>
              <w:rPr>
                <w:color w:val="000000"/>
              </w:rPr>
            </w:pPr>
            <w:r w:rsidRPr="00956B90">
              <w:rPr>
                <w:color w:val="000000"/>
                <w:lang w:val="en-US"/>
              </w:rPr>
              <w:t>Total Asset Turn Over (TATO)</w:t>
            </w:r>
          </w:p>
        </w:tc>
        <w:tc>
          <w:tcPr>
            <w:tcW w:w="379" w:type="dxa"/>
            <w:vMerge w:val="restart"/>
            <w:vAlign w:val="center"/>
          </w:tcPr>
          <w:p w14:paraId="7744A3E6" w14:textId="77777777" w:rsidR="00956B90" w:rsidRPr="00CC03A7" w:rsidRDefault="00956B90" w:rsidP="005B345A">
            <w:pPr>
              <w:jc w:val="center"/>
              <w:rPr>
                <w:color w:val="000000"/>
                <w:lang w:val="en-US"/>
              </w:rPr>
            </w:pPr>
            <w:r>
              <w:rPr>
                <w:color w:val="000000"/>
                <w:lang w:val="en-US"/>
              </w:rPr>
              <w:t>=</w:t>
            </w:r>
          </w:p>
        </w:tc>
        <w:tc>
          <w:tcPr>
            <w:tcW w:w="1980" w:type="dxa"/>
            <w:tcBorders>
              <w:bottom w:val="single" w:sz="4" w:space="0" w:color="auto"/>
            </w:tcBorders>
            <w:vAlign w:val="center"/>
          </w:tcPr>
          <w:p w14:paraId="1F50B5CD" w14:textId="745DAC9F" w:rsidR="00956B90" w:rsidRDefault="00956B90" w:rsidP="005B345A">
            <w:pPr>
              <w:jc w:val="center"/>
              <w:rPr>
                <w:color w:val="000000"/>
              </w:rPr>
            </w:pPr>
            <w:r>
              <w:rPr>
                <w:color w:val="000000"/>
                <w:lang w:val="en-US"/>
              </w:rPr>
              <w:t>Penjualan</w:t>
            </w:r>
          </w:p>
        </w:tc>
        <w:tc>
          <w:tcPr>
            <w:tcW w:w="390" w:type="dxa"/>
            <w:vMerge w:val="restart"/>
            <w:vAlign w:val="center"/>
          </w:tcPr>
          <w:p w14:paraId="765B4E10" w14:textId="77777777" w:rsidR="00956B90" w:rsidRPr="00CC03A7" w:rsidRDefault="00956B90" w:rsidP="005B345A">
            <w:pPr>
              <w:jc w:val="center"/>
              <w:rPr>
                <w:color w:val="000000"/>
                <w:lang w:val="en-US"/>
              </w:rPr>
            </w:pPr>
            <w:r>
              <w:rPr>
                <w:color w:val="000000"/>
                <w:lang w:val="en-US"/>
              </w:rPr>
              <w:t>X</w:t>
            </w:r>
          </w:p>
        </w:tc>
        <w:tc>
          <w:tcPr>
            <w:tcW w:w="601" w:type="dxa"/>
            <w:vMerge w:val="restart"/>
            <w:vAlign w:val="center"/>
          </w:tcPr>
          <w:p w14:paraId="27CEBECA" w14:textId="77777777" w:rsidR="00956B90" w:rsidRPr="00CC03A7" w:rsidRDefault="00956B90" w:rsidP="005B345A">
            <w:pPr>
              <w:jc w:val="center"/>
              <w:rPr>
                <w:color w:val="000000"/>
                <w:lang w:val="en-US"/>
              </w:rPr>
            </w:pPr>
            <w:r>
              <w:rPr>
                <w:color w:val="000000"/>
                <w:lang w:val="en-US"/>
              </w:rPr>
              <w:t>100</w:t>
            </w:r>
          </w:p>
        </w:tc>
      </w:tr>
      <w:tr w:rsidR="00956B90" w14:paraId="279FD053" w14:textId="77777777" w:rsidTr="00956B90">
        <w:trPr>
          <w:jc w:val="center"/>
        </w:trPr>
        <w:tc>
          <w:tcPr>
            <w:tcW w:w="3305" w:type="dxa"/>
            <w:vMerge/>
          </w:tcPr>
          <w:p w14:paraId="031E6DF9" w14:textId="77777777" w:rsidR="00956B90" w:rsidRDefault="00956B90" w:rsidP="005B345A">
            <w:pPr>
              <w:jc w:val="both"/>
              <w:rPr>
                <w:color w:val="000000"/>
              </w:rPr>
            </w:pPr>
          </w:p>
        </w:tc>
        <w:tc>
          <w:tcPr>
            <w:tcW w:w="379" w:type="dxa"/>
            <w:vMerge/>
          </w:tcPr>
          <w:p w14:paraId="416D9F2E" w14:textId="77777777" w:rsidR="00956B90" w:rsidRDefault="00956B90" w:rsidP="005B345A">
            <w:pPr>
              <w:jc w:val="both"/>
              <w:rPr>
                <w:color w:val="000000"/>
              </w:rPr>
            </w:pPr>
          </w:p>
        </w:tc>
        <w:tc>
          <w:tcPr>
            <w:tcW w:w="1980" w:type="dxa"/>
            <w:tcBorders>
              <w:top w:val="single" w:sz="4" w:space="0" w:color="auto"/>
            </w:tcBorders>
          </w:tcPr>
          <w:p w14:paraId="25808A9F" w14:textId="773A2E15" w:rsidR="00956B90" w:rsidRDefault="00956B90" w:rsidP="00956B90">
            <w:pPr>
              <w:jc w:val="center"/>
              <w:rPr>
                <w:color w:val="000000"/>
              </w:rPr>
            </w:pPr>
            <w:r>
              <w:rPr>
                <w:color w:val="000000"/>
                <w:lang w:val="en-US"/>
              </w:rPr>
              <w:t>Total Assets</w:t>
            </w:r>
          </w:p>
        </w:tc>
        <w:tc>
          <w:tcPr>
            <w:tcW w:w="390" w:type="dxa"/>
            <w:vMerge/>
          </w:tcPr>
          <w:p w14:paraId="4F52B740" w14:textId="77777777" w:rsidR="00956B90" w:rsidRDefault="00956B90" w:rsidP="005B345A">
            <w:pPr>
              <w:jc w:val="both"/>
              <w:rPr>
                <w:color w:val="000000"/>
              </w:rPr>
            </w:pPr>
          </w:p>
        </w:tc>
        <w:tc>
          <w:tcPr>
            <w:tcW w:w="601" w:type="dxa"/>
            <w:vMerge/>
          </w:tcPr>
          <w:p w14:paraId="334CE2A6" w14:textId="77777777" w:rsidR="00956B90" w:rsidRDefault="00956B90" w:rsidP="005B345A">
            <w:pPr>
              <w:jc w:val="both"/>
              <w:rPr>
                <w:color w:val="000000"/>
              </w:rPr>
            </w:pPr>
          </w:p>
        </w:tc>
      </w:tr>
    </w:tbl>
    <w:p w14:paraId="5AE8DAB2" w14:textId="77777777" w:rsidR="00956B90" w:rsidRDefault="00956B90" w:rsidP="00956B90">
      <w:pPr>
        <w:pBdr>
          <w:top w:val="nil"/>
          <w:left w:val="nil"/>
          <w:bottom w:val="nil"/>
          <w:right w:val="nil"/>
          <w:between w:val="nil"/>
        </w:pBdr>
        <w:ind w:left="180"/>
        <w:jc w:val="both"/>
        <w:rPr>
          <w:color w:val="000000"/>
        </w:rPr>
      </w:pPr>
    </w:p>
    <w:p w14:paraId="0D645574" w14:textId="6373574C" w:rsidR="00956B90" w:rsidRPr="00956B90" w:rsidRDefault="00956B90" w:rsidP="00956B90">
      <w:pPr>
        <w:pBdr>
          <w:top w:val="nil"/>
          <w:left w:val="nil"/>
          <w:bottom w:val="nil"/>
          <w:right w:val="nil"/>
          <w:between w:val="nil"/>
        </w:pBdr>
        <w:ind w:left="180"/>
        <w:jc w:val="both"/>
        <w:rPr>
          <w:color w:val="000000"/>
        </w:rPr>
      </w:pPr>
      <w:r w:rsidRPr="00956B90">
        <w:rPr>
          <w:color w:val="000000"/>
        </w:rPr>
        <w:t>TATO memberikan gambaran tentang tingkat penggunaan total aset perusahaan dalam mencapai penjualan. Rasio ini mencerminkan seberapa efisien perusahaan dalam menggerakkan asetnya untuk menghasilkan penjualan. Semakin tinggi nilai TATO, semakin besar dukungan total aset terhadap penjualan. Sebaliknya, nilai TATO yang rendah dapat mengindikasikan kurangnya efisiensi dalam pemanfaatan aset.</w:t>
      </w:r>
    </w:p>
    <w:p w14:paraId="5B7CD9D7" w14:textId="6BD4F2CB" w:rsidR="00956B90" w:rsidRDefault="00956B90" w:rsidP="00956B90">
      <w:pPr>
        <w:pBdr>
          <w:top w:val="nil"/>
          <w:left w:val="nil"/>
          <w:bottom w:val="nil"/>
          <w:right w:val="nil"/>
          <w:between w:val="nil"/>
        </w:pBdr>
        <w:ind w:left="180"/>
        <w:jc w:val="both"/>
        <w:rPr>
          <w:color w:val="000000"/>
        </w:rPr>
      </w:pPr>
      <w:r w:rsidRPr="00956B90">
        <w:rPr>
          <w:color w:val="000000"/>
        </w:rPr>
        <w:t>Tingginya nilai TATO menunjukkan bahwa perusahaan mampu mengoptimalkan asetnya untuk mencapai penjualan yang lebih besar, yang pada gilirannya dapat berkontribusi pada peningkatan laba. Oleh karena itu, TATO bukan hanya mencerminkan efisiensi operasional perusahaan tetapi juga dapat menjadi indikator potensial untuk pertumbuhan dan kinerja keuangan yang baik.</w:t>
      </w:r>
    </w:p>
    <w:p w14:paraId="37F2CEB7" w14:textId="77777777" w:rsidR="00956B90" w:rsidRDefault="00956B90" w:rsidP="00956B90">
      <w:pPr>
        <w:pBdr>
          <w:top w:val="nil"/>
          <w:left w:val="nil"/>
          <w:bottom w:val="nil"/>
          <w:right w:val="nil"/>
          <w:between w:val="nil"/>
        </w:pBdr>
        <w:ind w:left="180"/>
        <w:jc w:val="both"/>
        <w:rPr>
          <w:color w:val="000000"/>
        </w:rPr>
      </w:pPr>
    </w:p>
    <w:p w14:paraId="3BA91750" w14:textId="77777777" w:rsidR="00E75C3C" w:rsidRDefault="00E75C3C" w:rsidP="00E75C3C">
      <w:pPr>
        <w:pBdr>
          <w:top w:val="nil"/>
          <w:left w:val="nil"/>
          <w:bottom w:val="nil"/>
          <w:right w:val="nil"/>
          <w:between w:val="nil"/>
        </w:pBdr>
        <w:ind w:left="180"/>
        <w:jc w:val="both"/>
        <w:rPr>
          <w:b/>
          <w:bCs/>
          <w:color w:val="000000"/>
          <w:lang w:val="en-US"/>
        </w:rPr>
      </w:pPr>
      <w:r w:rsidRPr="00C847D4">
        <w:rPr>
          <w:b/>
          <w:bCs/>
          <w:color w:val="000000"/>
          <w:lang w:val="en-US"/>
        </w:rPr>
        <w:t>Rerangka Penelitian</w:t>
      </w:r>
    </w:p>
    <w:p w14:paraId="60F01C9F" w14:textId="77777777" w:rsidR="00E75C3C" w:rsidRDefault="00E75C3C" w:rsidP="00E75C3C">
      <w:pPr>
        <w:pBdr>
          <w:top w:val="nil"/>
          <w:left w:val="nil"/>
          <w:bottom w:val="nil"/>
          <w:right w:val="nil"/>
          <w:between w:val="nil"/>
        </w:pBdr>
        <w:ind w:left="180"/>
        <w:jc w:val="both"/>
        <w:rPr>
          <w:b/>
          <w:bCs/>
          <w:color w:val="000000"/>
          <w:lang w:val="en-US"/>
        </w:rPr>
      </w:pPr>
    </w:p>
    <w:p w14:paraId="7686E151" w14:textId="68CA242A" w:rsidR="00E75C3C" w:rsidRPr="00C847D4" w:rsidRDefault="00E75C3C" w:rsidP="00E75C3C">
      <w:pPr>
        <w:pBdr>
          <w:top w:val="nil"/>
          <w:left w:val="nil"/>
          <w:bottom w:val="nil"/>
          <w:right w:val="nil"/>
          <w:between w:val="nil"/>
        </w:pBdr>
        <w:ind w:left="180"/>
        <w:jc w:val="both"/>
        <w:rPr>
          <w:b/>
          <w:bCs/>
          <w:color w:val="000000"/>
          <w:lang w:val="en-US"/>
        </w:rPr>
      </w:pPr>
      <w:r>
        <w:rPr>
          <w:b/>
          <w:bCs/>
          <w:noProof/>
          <w:color w:val="000000"/>
          <w:lang w:val="en-US"/>
        </w:rPr>
        <w:lastRenderedPageBreak/>
        <mc:AlternateContent>
          <mc:Choice Requires="wps">
            <w:drawing>
              <wp:anchor distT="0" distB="0" distL="114300" distR="114300" simplePos="0" relativeHeight="251665408" behindDoc="0" locked="0" layoutInCell="1" allowOverlap="1" wp14:anchorId="54705072" wp14:editId="72456DDF">
                <wp:simplePos x="0" y="0"/>
                <wp:positionH relativeFrom="column">
                  <wp:posOffset>1087339</wp:posOffset>
                </wp:positionH>
                <wp:positionV relativeFrom="paragraph">
                  <wp:posOffset>3209399</wp:posOffset>
                </wp:positionV>
                <wp:extent cx="7729" cy="526832"/>
                <wp:effectExtent l="57150" t="38100" r="68580" b="83185"/>
                <wp:wrapNone/>
                <wp:docPr id="529581681" name="Straight Connector 7"/>
                <wp:cNvGraphicFramePr/>
                <a:graphic xmlns:a="http://schemas.openxmlformats.org/drawingml/2006/main">
                  <a:graphicData uri="http://schemas.microsoft.com/office/word/2010/wordprocessingShape">
                    <wps:wsp>
                      <wps:cNvCnPr/>
                      <wps:spPr>
                        <a:xfrm flipV="1">
                          <a:off x="0" y="0"/>
                          <a:ext cx="7729" cy="52683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92A6CC8"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6pt,252.7pt" to="86.2pt,2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" strokecolor="windowText" strokeweight="2pt">
                <v:shadow on="t" color="black" opacity="24903f" origin=",.5" offset="0,.55556mm"/>
              </v:line>
            </w:pict>
          </mc:Fallback>
        </mc:AlternateContent>
      </w:r>
      <w:r>
        <w:rPr>
          <w:b/>
          <w:bCs/>
          <w:noProof/>
          <w:color w:val="000000"/>
          <w:lang w:val="en-US"/>
        </w:rPr>
        <mc:AlternateContent>
          <mc:Choice Requires="wps">
            <w:drawing>
              <wp:anchor distT="0" distB="0" distL="114300" distR="114300" simplePos="0" relativeHeight="251664384" behindDoc="0" locked="0" layoutInCell="1" allowOverlap="1" wp14:anchorId="15794FDF" wp14:editId="1234C53B">
                <wp:simplePos x="0" y="0"/>
                <wp:positionH relativeFrom="column">
                  <wp:posOffset>1088390</wp:posOffset>
                </wp:positionH>
                <wp:positionV relativeFrom="paragraph">
                  <wp:posOffset>2044065</wp:posOffset>
                </wp:positionV>
                <wp:extent cx="3726180" cy="1677670"/>
                <wp:effectExtent l="38100" t="38100" r="83820" b="93980"/>
                <wp:wrapNone/>
                <wp:docPr id="958578189" name="Connector: Elbow 6"/>
                <wp:cNvGraphicFramePr/>
                <a:graphic xmlns:a="http://schemas.openxmlformats.org/drawingml/2006/main">
                  <a:graphicData uri="http://schemas.microsoft.com/office/word/2010/wordprocessingShape">
                    <wps:wsp>
                      <wps:cNvCnPr/>
                      <wps:spPr>
                        <a:xfrm flipV="1">
                          <a:off x="0" y="0"/>
                          <a:ext cx="3726180" cy="1677670"/>
                        </a:xfrm>
                        <a:prstGeom prst="bentConnector3">
                          <a:avLst>
                            <a:gd name="adj1" fmla="val 100079"/>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3256553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85.7pt;margin-top:160.95pt;width:293.4pt;height:132.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" adj="21617" strokecolor="windowText" strokeweight="2pt">
                <v:stroke endarrow="block"/>
                <v:shadow on="t" color="black" opacity="24903f" origin=",.5" offset="0,.55556mm"/>
              </v:shape>
            </w:pict>
          </mc:Fallback>
        </mc:AlternateContent>
      </w:r>
      <w:r>
        <w:rPr>
          <w:b/>
          <w:bCs/>
          <w:noProof/>
          <w:color w:val="000000"/>
          <w:lang w:val="en-US"/>
        </w:rPr>
        <mc:AlternateContent>
          <mc:Choice Requires="wps">
            <w:drawing>
              <wp:anchor distT="0" distB="0" distL="114300" distR="114300" simplePos="0" relativeHeight="251670528" behindDoc="0" locked="0" layoutInCell="1" allowOverlap="1" wp14:anchorId="4B6E426F" wp14:editId="677A939D">
                <wp:simplePos x="0" y="0"/>
                <wp:positionH relativeFrom="column">
                  <wp:posOffset>2053324</wp:posOffset>
                </wp:positionH>
                <wp:positionV relativeFrom="paragraph">
                  <wp:posOffset>1610927</wp:posOffset>
                </wp:positionV>
                <wp:extent cx="1838826" cy="1033947"/>
                <wp:effectExtent l="38100" t="38100" r="47625" b="90170"/>
                <wp:wrapNone/>
                <wp:docPr id="1336292138" name="Straight Arrow Connector 4"/>
                <wp:cNvGraphicFramePr/>
                <a:graphic xmlns:a="http://schemas.openxmlformats.org/drawingml/2006/main">
                  <a:graphicData uri="http://schemas.microsoft.com/office/word/2010/wordprocessingShape">
                    <wps:wsp>
                      <wps:cNvCnPr/>
                      <wps:spPr>
                        <a:xfrm flipV="1">
                          <a:off x="0" y="0"/>
                          <a:ext cx="1838826" cy="1033947"/>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2005673C" id="_x0000_t32" coordsize="21600,21600" o:spt="32" o:oned="t" path="m,l21600,21600e" filled="f">
                <v:path arrowok="t" fillok="f" o:connecttype="none"/>
                <o:lock v:ext="edit" shapetype="t"/>
              </v:shapetype>
              <v:shape id="Straight Arrow Connector 4" o:spid="_x0000_s1026" type="#_x0000_t32" style="position:absolute;margin-left:161.7pt;margin-top:126.85pt;width:144.8pt;height:81.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" strokecolor="windowText" strokeweight="2pt">
                <v:stroke endarrow="block"/>
                <v:shadow on="t" color="black" opacity="24903f" origin=",.5" offset="0,.55556mm"/>
              </v:shape>
            </w:pict>
          </mc:Fallback>
        </mc:AlternateContent>
      </w:r>
      <w:r>
        <w:rPr>
          <w:b/>
          <w:bCs/>
          <w:noProof/>
          <w:color w:val="000000"/>
          <w:lang w:val="en-US"/>
        </w:rPr>
        <mc:AlternateContent>
          <mc:Choice Requires="wps">
            <w:drawing>
              <wp:anchor distT="0" distB="0" distL="114300" distR="114300" simplePos="0" relativeHeight="251659264" behindDoc="0" locked="0" layoutInCell="1" allowOverlap="1" wp14:anchorId="2EC6F6C3" wp14:editId="35A1FB03">
                <wp:simplePos x="0" y="0"/>
                <wp:positionH relativeFrom="column">
                  <wp:posOffset>2065927</wp:posOffset>
                </wp:positionH>
                <wp:positionV relativeFrom="paragraph">
                  <wp:posOffset>520064</wp:posOffset>
                </wp:positionV>
                <wp:extent cx="1828800" cy="1072243"/>
                <wp:effectExtent l="38100" t="19050" r="76200" b="90170"/>
                <wp:wrapNone/>
                <wp:docPr id="95099439" name="Straight Arrow Connector 4"/>
                <wp:cNvGraphicFramePr/>
                <a:graphic xmlns:a="http://schemas.openxmlformats.org/drawingml/2006/main">
                  <a:graphicData uri="http://schemas.microsoft.com/office/word/2010/wordprocessingShape">
                    <wps:wsp>
                      <wps:cNvCnPr/>
                      <wps:spPr>
                        <a:xfrm>
                          <a:off x="0" y="0"/>
                          <a:ext cx="1828800" cy="1072243"/>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D5697BB" id="Straight Arrow Connector 4" o:spid="_x0000_s1026" type="#_x0000_t32" style="position:absolute;margin-left:162.65pt;margin-top:40.95pt;width:2in;height:8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" strokecolor="windowText" strokeweight="2pt">
                <v:stroke endarrow="block"/>
                <v:shadow on="t" color="black" opacity="24903f" origin=",.5" offset="0,.55556mm"/>
              </v:shape>
            </w:pict>
          </mc:Fallback>
        </mc:AlternateContent>
      </w:r>
      <w:r>
        <w:rPr>
          <w:b/>
          <w:bCs/>
          <w:noProof/>
          <w:color w:val="000000"/>
          <w:lang w:val="en-US"/>
        </w:rPr>
        <mc:AlternateContent>
          <mc:Choice Requires="wps">
            <w:drawing>
              <wp:anchor distT="0" distB="0" distL="114300" distR="114300" simplePos="0" relativeHeight="251658240" behindDoc="0" locked="0" layoutInCell="1" allowOverlap="1" wp14:anchorId="5F9A58C3" wp14:editId="4A0825E1">
                <wp:simplePos x="0" y="0"/>
                <wp:positionH relativeFrom="margin">
                  <wp:align>right</wp:align>
                </wp:positionH>
                <wp:positionV relativeFrom="paragraph">
                  <wp:posOffset>1141821</wp:posOffset>
                </wp:positionV>
                <wp:extent cx="1846384" cy="873369"/>
                <wp:effectExtent l="0" t="0" r="20955" b="22225"/>
                <wp:wrapNone/>
                <wp:docPr id="406739604" name="Rectangle 3"/>
                <wp:cNvGraphicFramePr/>
                <a:graphic xmlns:a="http://schemas.openxmlformats.org/drawingml/2006/main">
                  <a:graphicData uri="http://schemas.microsoft.com/office/word/2010/wordprocessingShape">
                    <wps:wsp>
                      <wps:cNvSpPr/>
                      <wps:spPr>
                        <a:xfrm>
                          <a:off x="0" y="0"/>
                          <a:ext cx="1846384" cy="873369"/>
                        </a:xfrm>
                        <a:prstGeom prst="rect">
                          <a:avLst/>
                        </a:prstGeom>
                        <a:solidFill>
                          <a:sysClr val="window" lastClr="FFFFFF"/>
                        </a:solidFill>
                        <a:ln w="25400" cap="flat" cmpd="sng" algn="ctr">
                          <a:solidFill>
                            <a:sysClr val="windowText" lastClr="000000"/>
                          </a:solidFill>
                          <a:prstDash val="solid"/>
                        </a:ln>
                        <a:effectLst/>
                      </wps:spPr>
                      <wps:txbx>
                        <w:txbxContent>
                          <w:p w14:paraId="5EBA6169" w14:textId="77777777" w:rsidR="00E75C3C" w:rsidRPr="00D1383D" w:rsidRDefault="00E75C3C" w:rsidP="00E75C3C">
                            <w:pPr>
                              <w:jc w:val="center"/>
                              <w:rPr>
                                <w:lang w:val="en-US"/>
                              </w:rPr>
                            </w:pPr>
                            <w:r>
                              <w:rPr>
                                <w:lang w:val="en-US"/>
                              </w:rPr>
                              <w:t>NET PROFIT MARGIN (NPM)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A58C3" id="Rectangle 3" o:spid="_x0000_s1026" style="position:absolute;left:0;text-align:left;margin-left:94.2pt;margin-top:89.9pt;width:145.4pt;height:68.75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" fillcolor="window" strokecolor="windowText" strokeweight="2pt">
                <v:textbox>
                  <w:txbxContent>
                    <w:p w14:paraId="5EBA6169" w14:textId="77777777" w:rsidR="00E75C3C" w:rsidRPr="00D1383D" w:rsidRDefault="00E75C3C" w:rsidP="00E75C3C">
                      <w:pPr>
                        <w:jc w:val="center"/>
                        <w:rPr>
                          <w:lang w:val="en-US"/>
                        </w:rPr>
                      </w:pPr>
                      <w:r>
                        <w:rPr>
                          <w:lang w:val="en-US"/>
                        </w:rPr>
                        <w:t>NET PROFIT MARGIN (NPM)</w:t>
                      </w:r>
                    </w:p>
                  </w:txbxContent>
                </v:textbox>
                <w10:wrap anchorx="margin"/>
              </v:rect>
            </w:pict>
          </mc:Fallback>
        </mc:AlternateContent>
      </w:r>
      <w:r>
        <w:rPr>
          <w:b/>
          <w:bCs/>
          <w:noProof/>
          <w:color w:val="000000"/>
          <w:lang w:val="en-US"/>
        </w:rPr>
        <mc:AlternateContent>
          <mc:Choice Requires="wps">
            <w:drawing>
              <wp:anchor distT="0" distB="0" distL="114300" distR="114300" simplePos="0" relativeHeight="251668480" behindDoc="0" locked="0" layoutInCell="1" allowOverlap="1" wp14:anchorId="3CF5EDAD" wp14:editId="647DEA6A">
                <wp:simplePos x="0" y="0"/>
                <wp:positionH relativeFrom="column">
                  <wp:posOffset>2055858</wp:posOffset>
                </wp:positionH>
                <wp:positionV relativeFrom="paragraph">
                  <wp:posOffset>1603194</wp:posOffset>
                </wp:positionV>
                <wp:extent cx="1844312" cy="0"/>
                <wp:effectExtent l="38100" t="76200" r="22860" b="133350"/>
                <wp:wrapNone/>
                <wp:docPr id="475389108" name="Straight Arrow Connector 2"/>
                <wp:cNvGraphicFramePr/>
                <a:graphic xmlns:a="http://schemas.openxmlformats.org/drawingml/2006/main">
                  <a:graphicData uri="http://schemas.microsoft.com/office/word/2010/wordprocessingShape">
                    <wps:wsp>
                      <wps:cNvCnPr/>
                      <wps:spPr>
                        <a:xfrm>
                          <a:off x="0" y="0"/>
                          <a:ext cx="1844312"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DDC75CD" id="Straight Arrow Connector 2" o:spid="_x0000_s1026" type="#_x0000_t32" style="position:absolute;margin-left:161.9pt;margin-top:126.25pt;width:145.2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" strokecolor="black [3200]" strokeweight="2pt">
                <v:stroke endarrow="block"/>
                <v:shadow on="t" color="black" opacity="24903f" origin=",.5" offset="0,.55556mm"/>
              </v:shape>
            </w:pict>
          </mc:Fallback>
        </mc:AlternateContent>
      </w:r>
      <w:r>
        <w:rPr>
          <w:b/>
          <w:bCs/>
          <w:noProof/>
          <w:color w:val="000000"/>
          <w:lang w:val="en-US"/>
        </w:rPr>
        <mc:AlternateContent>
          <mc:Choice Requires="wps">
            <w:drawing>
              <wp:anchor distT="0" distB="0" distL="114300" distR="114300" simplePos="0" relativeHeight="251667456" behindDoc="0" locked="0" layoutInCell="1" allowOverlap="1" wp14:anchorId="58663524" wp14:editId="5230D680">
                <wp:simplePos x="0" y="0"/>
                <wp:positionH relativeFrom="column">
                  <wp:posOffset>210004</wp:posOffset>
                </wp:positionH>
                <wp:positionV relativeFrom="paragraph">
                  <wp:posOffset>2169432</wp:posOffset>
                </wp:positionV>
                <wp:extent cx="1845945" cy="873125"/>
                <wp:effectExtent l="0" t="0" r="20955" b="22225"/>
                <wp:wrapNone/>
                <wp:docPr id="913270720" name="Rectangle 3"/>
                <wp:cNvGraphicFramePr/>
                <a:graphic xmlns:a="http://schemas.openxmlformats.org/drawingml/2006/main">
                  <a:graphicData uri="http://schemas.microsoft.com/office/word/2010/wordprocessingShape">
                    <wps:wsp>
                      <wps:cNvSpPr/>
                      <wps:spPr>
                        <a:xfrm>
                          <a:off x="0" y="0"/>
                          <a:ext cx="1845945" cy="873125"/>
                        </a:xfrm>
                        <a:prstGeom prst="rect">
                          <a:avLst/>
                        </a:prstGeom>
                        <a:solidFill>
                          <a:sysClr val="window" lastClr="FFFFFF"/>
                        </a:solidFill>
                        <a:ln w="25400" cap="flat" cmpd="sng" algn="ctr">
                          <a:solidFill>
                            <a:sysClr val="windowText" lastClr="000000"/>
                          </a:solidFill>
                          <a:prstDash val="solid"/>
                        </a:ln>
                        <a:effectLst/>
                      </wps:spPr>
                      <wps:txbx>
                        <w:txbxContent>
                          <w:p w14:paraId="12B3ABBC" w14:textId="753E28A0" w:rsidR="00E75C3C" w:rsidRPr="00D1383D" w:rsidRDefault="00E75C3C" w:rsidP="00E75C3C">
                            <w:pPr>
                              <w:jc w:val="center"/>
                              <w:rPr>
                                <w:lang w:val="en-US"/>
                              </w:rPr>
                            </w:pPr>
                            <w:r w:rsidRPr="00956B90">
                              <w:rPr>
                                <w:color w:val="000000"/>
                              </w:rPr>
                              <w:t>TOTAL ASSET TURN OVER (TATO)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63524" id="_x0000_s1027" style="position:absolute;left:0;text-align:left;margin-left:16.55pt;margin-top:170.8pt;width:145.35pt;height:6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" fillcolor="window" strokecolor="windowText" strokeweight="2pt">
                <v:textbox>
                  <w:txbxContent>
                    <w:p w14:paraId="12B3ABBC" w14:textId="753E28A0" w:rsidR="00E75C3C" w:rsidRPr="00D1383D" w:rsidRDefault="00E75C3C" w:rsidP="00E75C3C">
                      <w:pPr>
                        <w:jc w:val="center"/>
                        <w:rPr>
                          <w:lang w:val="en-US"/>
                        </w:rPr>
                      </w:pPr>
                      <w:r w:rsidRPr="00956B90">
                        <w:rPr>
                          <w:color w:val="000000"/>
                        </w:rPr>
                        <w:t>TOTAL ASSET TURN OVER (TATO)</w:t>
                      </w:r>
                    </w:p>
                  </w:txbxContent>
                </v:textbox>
              </v:rect>
            </w:pict>
          </mc:Fallback>
        </mc:AlternateContent>
      </w:r>
      <w:r>
        <w:rPr>
          <w:b/>
          <w:bCs/>
          <w:noProof/>
          <w:color w:val="000000"/>
          <w:lang w:val="en-US"/>
        </w:rPr>
        <mc:AlternateContent>
          <mc:Choice Requires="wps">
            <w:drawing>
              <wp:anchor distT="0" distB="0" distL="114300" distR="114300" simplePos="0" relativeHeight="251657216" behindDoc="0" locked="0" layoutInCell="1" allowOverlap="1" wp14:anchorId="6478F8EA" wp14:editId="133DEF0B">
                <wp:simplePos x="0" y="0"/>
                <wp:positionH relativeFrom="column">
                  <wp:posOffset>210820</wp:posOffset>
                </wp:positionH>
                <wp:positionV relativeFrom="paragraph">
                  <wp:posOffset>1156970</wp:posOffset>
                </wp:positionV>
                <wp:extent cx="1845945" cy="873125"/>
                <wp:effectExtent l="0" t="0" r="20955" b="22225"/>
                <wp:wrapNone/>
                <wp:docPr id="351947946" name="Rectangle 3"/>
                <wp:cNvGraphicFramePr/>
                <a:graphic xmlns:a="http://schemas.openxmlformats.org/drawingml/2006/main">
                  <a:graphicData uri="http://schemas.microsoft.com/office/word/2010/wordprocessingShape">
                    <wps:wsp>
                      <wps:cNvSpPr/>
                      <wps:spPr>
                        <a:xfrm>
                          <a:off x="0" y="0"/>
                          <a:ext cx="1845945" cy="873125"/>
                        </a:xfrm>
                        <a:prstGeom prst="rect">
                          <a:avLst/>
                        </a:prstGeom>
                        <a:solidFill>
                          <a:sysClr val="window" lastClr="FFFFFF"/>
                        </a:solidFill>
                        <a:ln w="25400" cap="flat" cmpd="sng" algn="ctr">
                          <a:solidFill>
                            <a:sysClr val="windowText" lastClr="000000"/>
                          </a:solidFill>
                          <a:prstDash val="solid"/>
                        </a:ln>
                        <a:effectLst/>
                      </wps:spPr>
                      <wps:txbx>
                        <w:txbxContent>
                          <w:p w14:paraId="0FD8EEDB" w14:textId="6EF52DB8" w:rsidR="00E75C3C" w:rsidRPr="00D1383D" w:rsidRDefault="00E75C3C" w:rsidP="00E75C3C">
                            <w:pPr>
                              <w:jc w:val="center"/>
                              <w:rPr>
                                <w:lang w:val="en-US"/>
                              </w:rPr>
                            </w:pPr>
                            <w:r>
                              <w:rPr>
                                <w:lang w:val="en-US"/>
                              </w:rPr>
                              <w:t>DEBT ASSETS TO RATIO</w:t>
                            </w:r>
                            <w:r>
                              <w:rPr>
                                <w:lang w:val="en-US"/>
                              </w:rPr>
                              <w:t xml:space="preserve"> (</w:t>
                            </w:r>
                            <w:r>
                              <w:rPr>
                                <w:lang w:val="en-US"/>
                              </w:rPr>
                              <w:t>DAR</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8F8EA" id="_x0000_s1028" style="position:absolute;left:0;text-align:left;margin-left:16.6pt;margin-top:91.1pt;width:145.35pt;height:68.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" fillcolor="window" strokecolor="windowText" strokeweight="2pt">
                <v:textbox>
                  <w:txbxContent>
                    <w:p w14:paraId="0FD8EEDB" w14:textId="6EF52DB8" w:rsidR="00E75C3C" w:rsidRPr="00D1383D" w:rsidRDefault="00E75C3C" w:rsidP="00E75C3C">
                      <w:pPr>
                        <w:jc w:val="center"/>
                        <w:rPr>
                          <w:lang w:val="en-US"/>
                        </w:rPr>
                      </w:pPr>
                      <w:r>
                        <w:rPr>
                          <w:lang w:val="en-US"/>
                        </w:rPr>
                        <w:t>DEBT ASSETS TO RATIO</w:t>
                      </w:r>
                      <w:r>
                        <w:rPr>
                          <w:lang w:val="en-US"/>
                        </w:rPr>
                        <w:t xml:space="preserve"> (</w:t>
                      </w:r>
                      <w:r>
                        <w:rPr>
                          <w:lang w:val="en-US"/>
                        </w:rPr>
                        <w:t>DAR</w:t>
                      </w:r>
                      <w:r>
                        <w:rPr>
                          <w:lang w:val="en-US"/>
                        </w:rPr>
                        <w:t>)</w:t>
                      </w:r>
                    </w:p>
                  </w:txbxContent>
                </v:textbox>
              </v:rect>
            </w:pict>
          </mc:Fallback>
        </mc:AlternateContent>
      </w:r>
      <w:r>
        <w:rPr>
          <w:b/>
          <w:bCs/>
          <w:noProof/>
          <w:color w:val="000000"/>
          <w:lang w:val="en-US"/>
        </w:rPr>
        <mc:AlternateContent>
          <mc:Choice Requires="wps">
            <w:drawing>
              <wp:anchor distT="0" distB="0" distL="114300" distR="114300" simplePos="0" relativeHeight="251656192" behindDoc="0" locked="0" layoutInCell="1" allowOverlap="1" wp14:anchorId="549D36E5" wp14:editId="738A1469">
                <wp:simplePos x="0" y="0"/>
                <wp:positionH relativeFrom="column">
                  <wp:posOffset>212237</wp:posOffset>
                </wp:positionH>
                <wp:positionV relativeFrom="paragraph">
                  <wp:posOffset>170815</wp:posOffset>
                </wp:positionV>
                <wp:extent cx="1845945" cy="873125"/>
                <wp:effectExtent l="0" t="0" r="20955" b="22225"/>
                <wp:wrapNone/>
                <wp:docPr id="1197986604" name="Rectangle 3"/>
                <wp:cNvGraphicFramePr/>
                <a:graphic xmlns:a="http://schemas.openxmlformats.org/drawingml/2006/main">
                  <a:graphicData uri="http://schemas.microsoft.com/office/word/2010/wordprocessingShape">
                    <wps:wsp>
                      <wps:cNvSpPr/>
                      <wps:spPr>
                        <a:xfrm>
                          <a:off x="0" y="0"/>
                          <a:ext cx="1845945" cy="873125"/>
                        </a:xfrm>
                        <a:prstGeom prst="rect">
                          <a:avLst/>
                        </a:prstGeom>
                        <a:solidFill>
                          <a:sysClr val="window" lastClr="FFFFFF"/>
                        </a:solidFill>
                        <a:ln w="25400" cap="flat" cmpd="sng" algn="ctr">
                          <a:solidFill>
                            <a:sysClr val="windowText" lastClr="000000"/>
                          </a:solidFill>
                          <a:prstDash val="solid"/>
                        </a:ln>
                        <a:effectLst/>
                      </wps:spPr>
                      <wps:txbx>
                        <w:txbxContent>
                          <w:p w14:paraId="664A665B" w14:textId="77777777" w:rsidR="00E75C3C" w:rsidRPr="00D1383D" w:rsidRDefault="00E75C3C" w:rsidP="00E75C3C">
                            <w:pPr>
                              <w:jc w:val="center"/>
                              <w:rPr>
                                <w:lang w:val="en-US"/>
                              </w:rPr>
                            </w:pPr>
                            <w:r>
                              <w:rPr>
                                <w:lang w:val="en-US"/>
                              </w:rPr>
                              <w:t>CURRENT RATIO (CR)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D36E5" id="_x0000_s1029" style="position:absolute;left:0;text-align:left;margin-left:16.7pt;margin-top:13.45pt;width:145.35pt;height:68.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" fillcolor="window" strokecolor="windowText" strokeweight="2pt">
                <v:textbox>
                  <w:txbxContent>
                    <w:p w14:paraId="664A665B" w14:textId="77777777" w:rsidR="00E75C3C" w:rsidRPr="00D1383D" w:rsidRDefault="00E75C3C" w:rsidP="00E75C3C">
                      <w:pPr>
                        <w:jc w:val="center"/>
                        <w:rPr>
                          <w:lang w:val="en-US"/>
                        </w:rPr>
                      </w:pPr>
                      <w:r>
                        <w:rPr>
                          <w:lang w:val="en-US"/>
                        </w:rPr>
                        <w:t>CURRENT RATIO (CR)</w:t>
                      </w:r>
                    </w:p>
                  </w:txbxContent>
                </v:textbox>
              </v:rect>
            </w:pict>
          </mc:Fallback>
        </mc:AlternateContent>
      </w:r>
      <w:r>
        <w:rPr>
          <w:b/>
          <w:bCs/>
          <w:noProof/>
          <w:color w:val="000000"/>
          <w:lang w:val="en-US"/>
        </w:rPr>
        <mc:AlternateContent>
          <mc:Choice Requires="wps">
            <w:drawing>
              <wp:inline distT="0" distB="0" distL="0" distR="0" wp14:anchorId="4A01D9FC" wp14:editId="0DA96D4B">
                <wp:extent cx="2074984" cy="3211285"/>
                <wp:effectExtent l="0" t="0" r="20955" b="27305"/>
                <wp:docPr id="413905310" name="Rectangle 2"/>
                <wp:cNvGraphicFramePr/>
                <a:graphic xmlns:a="http://schemas.openxmlformats.org/drawingml/2006/main">
                  <a:graphicData uri="http://schemas.microsoft.com/office/word/2010/wordprocessingShape">
                    <wps:wsp>
                      <wps:cNvSpPr/>
                      <wps:spPr>
                        <a:xfrm>
                          <a:off x="0" y="0"/>
                          <a:ext cx="2074984" cy="321128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A29778" id="Rectangle 2" o:spid="_x0000_s1026" style="width:163.4pt;height:25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" fillcolor="window" strokecolor="windowText" strokeweight="2pt">
                <w10:anchorlock/>
              </v:rect>
            </w:pict>
          </mc:Fallback>
        </mc:AlternateContent>
      </w:r>
    </w:p>
    <w:p w14:paraId="2F7ECD4C" w14:textId="158430E0" w:rsidR="00E75C3C" w:rsidRDefault="00E75C3C" w:rsidP="00E75C3C">
      <w:pPr>
        <w:pBdr>
          <w:top w:val="nil"/>
          <w:left w:val="nil"/>
          <w:bottom w:val="nil"/>
          <w:right w:val="nil"/>
          <w:between w:val="nil"/>
        </w:pBdr>
        <w:ind w:left="180"/>
        <w:jc w:val="both"/>
        <w:rPr>
          <w:color w:val="000000"/>
          <w:lang w:val="en-US"/>
        </w:rPr>
      </w:pPr>
    </w:p>
    <w:p w14:paraId="2E96B39A" w14:textId="21334E37" w:rsidR="00E75C3C" w:rsidRDefault="00E75C3C" w:rsidP="00E75C3C">
      <w:pPr>
        <w:pBdr>
          <w:top w:val="nil"/>
          <w:left w:val="nil"/>
          <w:bottom w:val="nil"/>
          <w:right w:val="nil"/>
          <w:between w:val="nil"/>
        </w:pBdr>
        <w:ind w:left="180"/>
        <w:jc w:val="both"/>
        <w:rPr>
          <w:color w:val="000000"/>
          <w:lang w:val="en-US"/>
        </w:rPr>
      </w:pPr>
    </w:p>
    <w:p w14:paraId="6674F05D" w14:textId="3B3B41E3" w:rsidR="00E75C3C" w:rsidRDefault="00E75C3C" w:rsidP="00E75C3C">
      <w:pPr>
        <w:pBdr>
          <w:top w:val="nil"/>
          <w:left w:val="nil"/>
          <w:bottom w:val="nil"/>
          <w:right w:val="nil"/>
          <w:between w:val="nil"/>
        </w:pBdr>
        <w:ind w:left="180"/>
        <w:jc w:val="both"/>
        <w:rPr>
          <w:color w:val="000000"/>
          <w:lang w:val="en-US"/>
        </w:rPr>
      </w:pPr>
    </w:p>
    <w:p w14:paraId="29D2BAB2" w14:textId="77777777" w:rsidR="00E75C3C" w:rsidRDefault="00E75C3C" w:rsidP="00E75C3C">
      <w:pPr>
        <w:spacing w:line="276" w:lineRule="auto"/>
        <w:jc w:val="center"/>
      </w:pPr>
    </w:p>
    <w:p w14:paraId="2F35FC53" w14:textId="6C94F6F3" w:rsidR="00E75C3C" w:rsidRPr="002E23CA" w:rsidRDefault="00E75C3C" w:rsidP="00E75C3C">
      <w:pPr>
        <w:spacing w:line="276" w:lineRule="auto"/>
        <w:jc w:val="center"/>
        <w:rPr>
          <w:lang w:val="en-US"/>
        </w:rPr>
      </w:pPr>
      <w:r w:rsidRPr="002E23CA">
        <w:t xml:space="preserve">Gambar </w:t>
      </w:r>
      <w:r>
        <w:rPr>
          <w:lang w:val="en-US"/>
        </w:rPr>
        <w:t>2</w:t>
      </w:r>
      <w:r w:rsidRPr="002E23CA">
        <w:t xml:space="preserve">. </w:t>
      </w:r>
      <w:r w:rsidRPr="002E23CA">
        <w:rPr>
          <w:b/>
          <w:bCs/>
        </w:rPr>
        <w:t>Rerangka Pemikiran</w:t>
      </w:r>
    </w:p>
    <w:p w14:paraId="50ED1498" w14:textId="77777777" w:rsidR="00956B90" w:rsidRDefault="00956B90" w:rsidP="00956B90">
      <w:pPr>
        <w:pBdr>
          <w:top w:val="nil"/>
          <w:left w:val="nil"/>
          <w:bottom w:val="nil"/>
          <w:right w:val="nil"/>
          <w:between w:val="nil"/>
        </w:pBdr>
        <w:ind w:left="180"/>
        <w:jc w:val="both"/>
        <w:rPr>
          <w:color w:val="000000"/>
        </w:rPr>
      </w:pPr>
    </w:p>
    <w:p w14:paraId="4ED861B8" w14:textId="5EABC86E" w:rsidR="00E75C3C" w:rsidRPr="00E75C3C" w:rsidRDefault="00E75C3C" w:rsidP="00E75C3C">
      <w:pPr>
        <w:pBdr>
          <w:top w:val="nil"/>
          <w:left w:val="nil"/>
          <w:bottom w:val="nil"/>
          <w:right w:val="nil"/>
          <w:between w:val="nil"/>
        </w:pBdr>
        <w:ind w:left="180"/>
        <w:jc w:val="both"/>
        <w:rPr>
          <w:b/>
          <w:bCs/>
          <w:color w:val="000000"/>
          <w:lang w:val="en-US"/>
        </w:rPr>
      </w:pPr>
      <w:r w:rsidRPr="00B65276">
        <w:rPr>
          <w:b/>
          <w:bCs/>
          <w:color w:val="000000"/>
          <w:lang w:val="en-US"/>
        </w:rPr>
        <w:t xml:space="preserve">Pengaruh </w:t>
      </w:r>
      <w:r w:rsidRPr="00E75C3C">
        <w:rPr>
          <w:b/>
          <w:bCs/>
          <w:i/>
          <w:iCs/>
          <w:color w:val="000000"/>
          <w:lang w:val="en-US"/>
        </w:rPr>
        <w:t>Current Ratio</w:t>
      </w:r>
      <w:r>
        <w:rPr>
          <w:b/>
          <w:bCs/>
          <w:i/>
          <w:iCs/>
          <w:color w:val="000000"/>
          <w:lang w:val="en-US"/>
        </w:rPr>
        <w:t xml:space="preserve"> </w:t>
      </w:r>
      <w:r>
        <w:rPr>
          <w:b/>
          <w:bCs/>
          <w:color w:val="000000"/>
          <w:lang w:val="en-US"/>
        </w:rPr>
        <w:t>(CR)</w:t>
      </w:r>
      <w:r w:rsidRPr="00B65276">
        <w:rPr>
          <w:b/>
          <w:bCs/>
          <w:color w:val="000000"/>
          <w:lang w:val="en-US"/>
        </w:rPr>
        <w:t xml:space="preserve"> Terhadap </w:t>
      </w:r>
      <w:r w:rsidRPr="00E75C3C">
        <w:rPr>
          <w:b/>
          <w:bCs/>
          <w:i/>
          <w:iCs/>
          <w:color w:val="000000"/>
          <w:lang w:val="en-US"/>
        </w:rPr>
        <w:t xml:space="preserve">Net Profit Margin </w:t>
      </w:r>
      <w:r>
        <w:rPr>
          <w:b/>
          <w:bCs/>
          <w:color w:val="000000"/>
          <w:lang w:val="en-US"/>
        </w:rPr>
        <w:t>(NPM)</w:t>
      </w:r>
    </w:p>
    <w:p w14:paraId="4A8481FD" w14:textId="77777777" w:rsidR="005472B8" w:rsidRPr="005472B8" w:rsidRDefault="005472B8" w:rsidP="005472B8">
      <w:pPr>
        <w:pBdr>
          <w:top w:val="nil"/>
          <w:left w:val="nil"/>
          <w:bottom w:val="nil"/>
          <w:right w:val="nil"/>
          <w:between w:val="nil"/>
        </w:pBdr>
        <w:ind w:left="180"/>
        <w:jc w:val="both"/>
        <w:rPr>
          <w:color w:val="000000"/>
        </w:rPr>
      </w:pPr>
      <w:r w:rsidRPr="005472B8">
        <w:rPr>
          <w:color w:val="000000"/>
        </w:rPr>
        <w:t>Current Ratio adalah salah satu rasio keuangan yang memberikan gambaran tentang kemampuan perusahaan untuk membayar kewajiban jangka pendek dengan menggunakan aset lancar. Rasio ini mengindikasikan seberapa baik perusahaan dapat mengatasi kewajiban jangka pendeknya dengan menggunakan sumber daya yang mudah dicairkan.</w:t>
      </w:r>
    </w:p>
    <w:p w14:paraId="1C64F9CF" w14:textId="77777777" w:rsidR="005472B8" w:rsidRPr="005472B8" w:rsidRDefault="005472B8" w:rsidP="005472B8">
      <w:pPr>
        <w:pBdr>
          <w:top w:val="nil"/>
          <w:left w:val="nil"/>
          <w:bottom w:val="nil"/>
          <w:right w:val="nil"/>
          <w:between w:val="nil"/>
        </w:pBdr>
        <w:ind w:left="180"/>
        <w:jc w:val="both"/>
        <w:rPr>
          <w:color w:val="000000"/>
        </w:rPr>
      </w:pPr>
      <w:r w:rsidRPr="005472B8">
        <w:rPr>
          <w:color w:val="000000"/>
        </w:rPr>
        <w:t>Pengaruh Current Ratio terhadap Net Profit Margin dapat dianalisis melalui hubungan antara likuiditas perusahaan dan profitabilitasnya. Likuiditas yang tinggi dapat memberikan keleluasaan kepada perusahaan dalam mengelola operasionalnya, namun, terlalu tingginya likuiditas juga dapat menunjukkan ineffisiensi dalam pengelolaan aset.</w:t>
      </w:r>
    </w:p>
    <w:p w14:paraId="17B11DC9" w14:textId="77777777" w:rsidR="005472B8" w:rsidRPr="005472B8" w:rsidRDefault="005472B8" w:rsidP="005472B8">
      <w:pPr>
        <w:pBdr>
          <w:top w:val="nil"/>
          <w:left w:val="nil"/>
          <w:bottom w:val="nil"/>
          <w:right w:val="nil"/>
          <w:between w:val="nil"/>
        </w:pBdr>
        <w:ind w:left="180"/>
        <w:jc w:val="both"/>
        <w:rPr>
          <w:color w:val="000000"/>
        </w:rPr>
      </w:pPr>
      <w:r w:rsidRPr="005472B8">
        <w:rPr>
          <w:color w:val="000000"/>
        </w:rPr>
        <w:t>Dalam pandangan Weston dan Brigham (2020), Current Ratio yang tinggi mencerminkan tingkat likuiditas yang baik. Likuiditas yang baik dapat memberikan fleksibilitas kepada perusahaan untuk mengelola operasionalnya dengan lebih efisien. Namun, perlu diingat bahwa hubungan ini perlu dipertimbangkan dengan hati-hati, karena Current Ratio yang terlalu tinggi juga dapat menandakan ketidakoptimalan dalam pengelolaan aset perusahaan.</w:t>
      </w:r>
    </w:p>
    <w:p w14:paraId="57D6A054" w14:textId="77777777" w:rsidR="005472B8" w:rsidRPr="005472B8" w:rsidRDefault="005472B8" w:rsidP="005472B8">
      <w:pPr>
        <w:pBdr>
          <w:top w:val="nil"/>
          <w:left w:val="nil"/>
          <w:bottom w:val="nil"/>
          <w:right w:val="nil"/>
          <w:between w:val="nil"/>
        </w:pBdr>
        <w:ind w:left="180"/>
        <w:jc w:val="both"/>
        <w:rPr>
          <w:color w:val="000000"/>
        </w:rPr>
      </w:pPr>
      <w:r w:rsidRPr="005472B8">
        <w:rPr>
          <w:color w:val="000000"/>
        </w:rPr>
        <w:t>Sebaliknya, menurut Ross et al. (2018), Current Ratio yang rendah dapat memberikan sinyal kurangnya kemampuan perusahaan untuk memenuhi kewajiban jangka pendeknya. Kesulitan dalam memenuhi kewajiban jangka pendek ini dapat berdampak negatif pada profitabilitas perusahaan. Terdapat trade-off antara memiliki likuiditas yang tinggi dan mempertahankan profitabilitas yang baik.</w:t>
      </w:r>
    </w:p>
    <w:p w14:paraId="07B55804" w14:textId="77777777" w:rsidR="005472B8" w:rsidRPr="005472B8" w:rsidRDefault="005472B8" w:rsidP="005472B8">
      <w:pPr>
        <w:pBdr>
          <w:top w:val="nil"/>
          <w:left w:val="nil"/>
          <w:bottom w:val="nil"/>
          <w:right w:val="nil"/>
          <w:between w:val="nil"/>
        </w:pBdr>
        <w:ind w:left="180"/>
        <w:jc w:val="both"/>
        <w:rPr>
          <w:color w:val="000000"/>
        </w:rPr>
      </w:pPr>
      <w:r w:rsidRPr="005472B8">
        <w:rPr>
          <w:color w:val="000000"/>
        </w:rPr>
        <w:t>Dalam formulasi hipotesis penelitian, berdasarkan pandangan di atas, dapat dirumuskan sebagai berikut:</w:t>
      </w:r>
    </w:p>
    <w:p w14:paraId="52FE3917" w14:textId="77777777" w:rsidR="005472B8" w:rsidRPr="005472B8" w:rsidRDefault="005472B8" w:rsidP="005472B8">
      <w:pPr>
        <w:pBdr>
          <w:top w:val="nil"/>
          <w:left w:val="nil"/>
          <w:bottom w:val="nil"/>
          <w:right w:val="nil"/>
          <w:between w:val="nil"/>
        </w:pBdr>
        <w:ind w:left="180"/>
        <w:jc w:val="both"/>
        <w:rPr>
          <w:color w:val="000000"/>
        </w:rPr>
      </w:pPr>
    </w:p>
    <w:p w14:paraId="7DE10490" w14:textId="4ABF7E5E" w:rsidR="005472B8" w:rsidRPr="005472B8" w:rsidRDefault="005472B8" w:rsidP="005472B8">
      <w:pPr>
        <w:pBdr>
          <w:top w:val="nil"/>
          <w:left w:val="nil"/>
          <w:bottom w:val="nil"/>
          <w:right w:val="nil"/>
          <w:between w:val="nil"/>
        </w:pBdr>
        <w:ind w:left="180"/>
        <w:jc w:val="both"/>
        <w:rPr>
          <w:color w:val="000000"/>
        </w:rPr>
      </w:pPr>
      <w:r w:rsidRPr="005472B8">
        <w:rPr>
          <w:b/>
          <w:bCs/>
          <w:color w:val="000000"/>
        </w:rPr>
        <w:t>H1:</w:t>
      </w:r>
      <w:r w:rsidRPr="005472B8">
        <w:rPr>
          <w:color w:val="000000"/>
        </w:rPr>
        <w:t xml:space="preserve"> Current Ratio berpengaruh positif dan signifikan terhadap Net Profit Margin.</w:t>
      </w:r>
    </w:p>
    <w:p w14:paraId="3C790704" w14:textId="77777777" w:rsidR="005472B8" w:rsidRPr="005472B8" w:rsidRDefault="005472B8" w:rsidP="005472B8">
      <w:pPr>
        <w:pBdr>
          <w:top w:val="nil"/>
          <w:left w:val="nil"/>
          <w:bottom w:val="nil"/>
          <w:right w:val="nil"/>
          <w:between w:val="nil"/>
        </w:pBdr>
        <w:ind w:left="180"/>
        <w:jc w:val="both"/>
        <w:rPr>
          <w:color w:val="000000"/>
        </w:rPr>
      </w:pPr>
    </w:p>
    <w:p w14:paraId="1749788C" w14:textId="0A0F044A" w:rsidR="00BB0467" w:rsidRDefault="005472B8" w:rsidP="005472B8">
      <w:pPr>
        <w:pBdr>
          <w:top w:val="nil"/>
          <w:left w:val="nil"/>
          <w:bottom w:val="nil"/>
          <w:right w:val="nil"/>
          <w:between w:val="nil"/>
        </w:pBdr>
        <w:ind w:left="180"/>
        <w:jc w:val="both"/>
        <w:rPr>
          <w:color w:val="000000"/>
        </w:rPr>
      </w:pPr>
      <w:r w:rsidRPr="005472B8">
        <w:rPr>
          <w:color w:val="000000"/>
        </w:rPr>
        <w:lastRenderedPageBreak/>
        <w:t>Penelitian ini bertujuan untuk menguji sejauh mana Current Ratio dapat mempengaruhi Net Profit Margin perusahaan, dengan harapan dapat memberikan pemahaman yang lebih mendalam tentang hubungan antara likuiditas dan profitabilitas dalam konteks keuangan perusahaan.</w:t>
      </w:r>
    </w:p>
    <w:p w14:paraId="02828871" w14:textId="77777777" w:rsidR="00E75C3C" w:rsidRDefault="00E75C3C" w:rsidP="00BB0467">
      <w:pPr>
        <w:pBdr>
          <w:top w:val="nil"/>
          <w:left w:val="nil"/>
          <w:bottom w:val="nil"/>
          <w:right w:val="nil"/>
          <w:between w:val="nil"/>
        </w:pBdr>
        <w:ind w:left="180"/>
        <w:jc w:val="both"/>
        <w:rPr>
          <w:color w:val="000000"/>
        </w:rPr>
      </w:pPr>
    </w:p>
    <w:p w14:paraId="68084464" w14:textId="3A7516D4" w:rsidR="005472B8" w:rsidRPr="00E75C3C" w:rsidRDefault="005472B8" w:rsidP="005472B8">
      <w:pPr>
        <w:pBdr>
          <w:top w:val="nil"/>
          <w:left w:val="nil"/>
          <w:bottom w:val="nil"/>
          <w:right w:val="nil"/>
          <w:between w:val="nil"/>
        </w:pBdr>
        <w:ind w:left="180"/>
        <w:jc w:val="both"/>
        <w:rPr>
          <w:b/>
          <w:bCs/>
          <w:color w:val="000000"/>
          <w:lang w:val="en-US"/>
        </w:rPr>
      </w:pPr>
      <w:r w:rsidRPr="00B65276">
        <w:rPr>
          <w:b/>
          <w:bCs/>
          <w:color w:val="000000"/>
          <w:lang w:val="en-US"/>
        </w:rPr>
        <w:t xml:space="preserve">Pengaruh </w:t>
      </w:r>
      <w:r w:rsidRPr="005472B8">
        <w:rPr>
          <w:b/>
          <w:bCs/>
          <w:i/>
          <w:iCs/>
          <w:color w:val="000000"/>
          <w:lang w:val="en-US"/>
        </w:rPr>
        <w:t xml:space="preserve">Debt to Asset Ratio </w:t>
      </w:r>
      <w:r>
        <w:rPr>
          <w:b/>
          <w:bCs/>
          <w:color w:val="000000"/>
          <w:lang w:val="en-US"/>
        </w:rPr>
        <w:t>(</w:t>
      </w:r>
      <w:r>
        <w:rPr>
          <w:b/>
          <w:bCs/>
          <w:color w:val="000000"/>
          <w:lang w:val="en-US"/>
        </w:rPr>
        <w:t>DA</w:t>
      </w:r>
      <w:r>
        <w:rPr>
          <w:b/>
          <w:bCs/>
          <w:color w:val="000000"/>
          <w:lang w:val="en-US"/>
        </w:rPr>
        <w:t>R)</w:t>
      </w:r>
      <w:r w:rsidRPr="00B65276">
        <w:rPr>
          <w:b/>
          <w:bCs/>
          <w:color w:val="000000"/>
          <w:lang w:val="en-US"/>
        </w:rPr>
        <w:t xml:space="preserve"> Terhadap </w:t>
      </w:r>
      <w:r w:rsidRPr="00E75C3C">
        <w:rPr>
          <w:b/>
          <w:bCs/>
          <w:i/>
          <w:iCs/>
          <w:color w:val="000000"/>
          <w:lang w:val="en-US"/>
        </w:rPr>
        <w:t xml:space="preserve">Net Profit Margin </w:t>
      </w:r>
      <w:r>
        <w:rPr>
          <w:b/>
          <w:bCs/>
          <w:color w:val="000000"/>
          <w:lang w:val="en-US"/>
        </w:rPr>
        <w:t>(NPM)</w:t>
      </w:r>
    </w:p>
    <w:p w14:paraId="30B2885A" w14:textId="41E8E244" w:rsidR="005472B8" w:rsidRPr="005472B8" w:rsidRDefault="005472B8" w:rsidP="005472B8">
      <w:pPr>
        <w:pBdr>
          <w:top w:val="nil"/>
          <w:left w:val="nil"/>
          <w:bottom w:val="nil"/>
          <w:right w:val="nil"/>
          <w:between w:val="nil"/>
        </w:pBdr>
        <w:ind w:left="180"/>
        <w:jc w:val="both"/>
        <w:rPr>
          <w:color w:val="000000"/>
        </w:rPr>
      </w:pPr>
      <w:r w:rsidRPr="005472B8">
        <w:rPr>
          <w:color w:val="000000"/>
        </w:rPr>
        <w:t xml:space="preserve">Debt to Asset Ratio (DAR) </w:t>
      </w:r>
      <w:r>
        <w:rPr>
          <w:color w:val="000000"/>
          <w:lang w:val="en-US"/>
        </w:rPr>
        <w:t>merupakan</w:t>
      </w:r>
      <w:r w:rsidRPr="005472B8">
        <w:rPr>
          <w:color w:val="000000"/>
        </w:rPr>
        <w:t xml:space="preserve"> rasio keuangan yang menggambarkan sejauh mana aset suatu perusahaan dibiayai oleh utang. Pengaruh DAR terhadap Net Profit Margin (NPM) mencerminkan hubungan antara struktur modal dan profitabilitas perusahaan.</w:t>
      </w:r>
    </w:p>
    <w:p w14:paraId="5BEC4365" w14:textId="77777777" w:rsidR="005472B8" w:rsidRPr="005472B8" w:rsidRDefault="005472B8" w:rsidP="005472B8">
      <w:pPr>
        <w:pBdr>
          <w:top w:val="nil"/>
          <w:left w:val="nil"/>
          <w:bottom w:val="nil"/>
          <w:right w:val="nil"/>
          <w:between w:val="nil"/>
        </w:pBdr>
        <w:ind w:left="180"/>
        <w:jc w:val="both"/>
        <w:rPr>
          <w:color w:val="000000"/>
        </w:rPr>
      </w:pPr>
      <w:r w:rsidRPr="005472B8">
        <w:rPr>
          <w:color w:val="000000"/>
        </w:rPr>
        <w:t>Dalam pandangan Gitman dan Zutter (2019), DAR yang tinggi menunjukkan tingkat pembiayaan aset yang signifikan melalui utang. Hal ini dapat memberikan keuntungan dalam meningkatkan potensi pengembalian bagi pemegang saham, karena menggunakan utang seringkali lebih murah daripada modal sendiri. Namun, perlu diingat bahwa tingkat utang yang tinggi juga berarti risiko yang lebih besar, karena bunga yang harus dibayarkan dapat memberikan tekanan signifikan pada laba bersih.</w:t>
      </w:r>
    </w:p>
    <w:p w14:paraId="31D0E3E8" w14:textId="77777777" w:rsidR="005472B8" w:rsidRPr="005472B8" w:rsidRDefault="005472B8" w:rsidP="005472B8">
      <w:pPr>
        <w:pBdr>
          <w:top w:val="nil"/>
          <w:left w:val="nil"/>
          <w:bottom w:val="nil"/>
          <w:right w:val="nil"/>
          <w:between w:val="nil"/>
        </w:pBdr>
        <w:ind w:left="180"/>
        <w:jc w:val="both"/>
        <w:rPr>
          <w:color w:val="000000"/>
        </w:rPr>
      </w:pPr>
      <w:r w:rsidRPr="005472B8">
        <w:rPr>
          <w:color w:val="000000"/>
        </w:rPr>
        <w:t>Penelitian oleh Deloof (2003) menyoroti bahwa struktur modal, khususnya tingkat utang, dapat mempengaruhi profitabilitas perusahaan. Sebuah DAR yang rendah dapat mencerminkan kemandirian finansial, tetapi juga dapat mengindikasikan kurangnya pemanfaatan leverage finansial yang dapat meningkatkan pengembalian bagi pemegang saham.</w:t>
      </w:r>
    </w:p>
    <w:p w14:paraId="3F4B4DD9" w14:textId="77777777" w:rsidR="005472B8" w:rsidRPr="005472B8" w:rsidRDefault="005472B8" w:rsidP="005472B8">
      <w:pPr>
        <w:pBdr>
          <w:top w:val="nil"/>
          <w:left w:val="nil"/>
          <w:bottom w:val="nil"/>
          <w:right w:val="nil"/>
          <w:between w:val="nil"/>
        </w:pBdr>
        <w:ind w:left="180"/>
        <w:jc w:val="both"/>
        <w:rPr>
          <w:color w:val="000000"/>
        </w:rPr>
      </w:pPr>
      <w:r w:rsidRPr="005472B8">
        <w:rPr>
          <w:color w:val="000000"/>
        </w:rPr>
        <w:t>Namun, seiring dengan manfaat potensial, terdapat risiko keuangan terkait dengan struktur modal. Laba bersih dapat dipengaruhi oleh pembayaran bunga yang tinggi, terutama dalam situasi suku bunga yang naik. Oleh karena itu, pengaruh DAR terhadap NPM perlu dipahami dengan mempertimbangkan faktor risiko ini.</w:t>
      </w:r>
    </w:p>
    <w:p w14:paraId="714F4D05" w14:textId="77777777" w:rsidR="005472B8" w:rsidRPr="005472B8" w:rsidRDefault="005472B8" w:rsidP="005472B8">
      <w:pPr>
        <w:pBdr>
          <w:top w:val="nil"/>
          <w:left w:val="nil"/>
          <w:bottom w:val="nil"/>
          <w:right w:val="nil"/>
          <w:between w:val="nil"/>
        </w:pBdr>
        <w:ind w:left="180"/>
        <w:jc w:val="both"/>
        <w:rPr>
          <w:color w:val="000000"/>
        </w:rPr>
      </w:pPr>
      <w:r w:rsidRPr="005472B8">
        <w:rPr>
          <w:color w:val="000000"/>
        </w:rPr>
        <w:t>Berdasarkan pandangan ini, hipotesis penelitian dapat dirumuskan sebagai berikut:</w:t>
      </w:r>
    </w:p>
    <w:p w14:paraId="0A4AA4CB" w14:textId="77777777" w:rsidR="005472B8" w:rsidRPr="005472B8" w:rsidRDefault="005472B8" w:rsidP="005472B8">
      <w:pPr>
        <w:pBdr>
          <w:top w:val="nil"/>
          <w:left w:val="nil"/>
          <w:bottom w:val="nil"/>
          <w:right w:val="nil"/>
          <w:between w:val="nil"/>
        </w:pBdr>
        <w:ind w:left="180"/>
        <w:jc w:val="both"/>
        <w:rPr>
          <w:color w:val="000000"/>
        </w:rPr>
      </w:pPr>
    </w:p>
    <w:p w14:paraId="6CA0A97B" w14:textId="476A0E9D" w:rsidR="005472B8" w:rsidRPr="005472B8" w:rsidRDefault="005472B8" w:rsidP="005472B8">
      <w:pPr>
        <w:pBdr>
          <w:top w:val="nil"/>
          <w:left w:val="nil"/>
          <w:bottom w:val="nil"/>
          <w:right w:val="nil"/>
          <w:between w:val="nil"/>
        </w:pBdr>
        <w:ind w:left="180"/>
        <w:jc w:val="both"/>
        <w:rPr>
          <w:color w:val="000000"/>
        </w:rPr>
      </w:pPr>
      <w:r w:rsidRPr="009F3505">
        <w:rPr>
          <w:b/>
          <w:bCs/>
          <w:color w:val="000000"/>
        </w:rPr>
        <w:t>H2:</w:t>
      </w:r>
      <w:r w:rsidRPr="005472B8">
        <w:rPr>
          <w:color w:val="000000"/>
        </w:rPr>
        <w:t xml:space="preserve"> Debt to Asset Ratio (DAR) berpengaruh positif dan signifikan terhadap Net Profit Margin (NPM).</w:t>
      </w:r>
    </w:p>
    <w:p w14:paraId="6A92B430" w14:textId="77777777" w:rsidR="005472B8" w:rsidRPr="005472B8" w:rsidRDefault="005472B8" w:rsidP="005472B8">
      <w:pPr>
        <w:pBdr>
          <w:top w:val="nil"/>
          <w:left w:val="nil"/>
          <w:bottom w:val="nil"/>
          <w:right w:val="nil"/>
          <w:between w:val="nil"/>
        </w:pBdr>
        <w:ind w:left="180"/>
        <w:jc w:val="both"/>
        <w:rPr>
          <w:color w:val="000000"/>
        </w:rPr>
      </w:pPr>
    </w:p>
    <w:p w14:paraId="62CCDB5C" w14:textId="191793D8" w:rsidR="005472B8" w:rsidRDefault="005472B8" w:rsidP="005472B8">
      <w:pPr>
        <w:pBdr>
          <w:top w:val="nil"/>
          <w:left w:val="nil"/>
          <w:bottom w:val="nil"/>
          <w:right w:val="nil"/>
          <w:between w:val="nil"/>
        </w:pBdr>
        <w:ind w:left="180"/>
        <w:jc w:val="both"/>
        <w:rPr>
          <w:color w:val="000000"/>
        </w:rPr>
      </w:pPr>
      <w:r w:rsidRPr="005472B8">
        <w:rPr>
          <w:color w:val="000000"/>
        </w:rPr>
        <w:t>Penelitian ini diharapkan dapat memberikan wawasan yang lebih mendalam tentang bagaimana struktur modal, terutama Debt to Asset Ratio, dapat mempengaruhi tingkat profitabilitas suatu perusahaan.</w:t>
      </w:r>
    </w:p>
    <w:p w14:paraId="125E0D77" w14:textId="77777777" w:rsidR="009F3505" w:rsidRDefault="009F3505" w:rsidP="005472B8">
      <w:pPr>
        <w:pBdr>
          <w:top w:val="nil"/>
          <w:left w:val="nil"/>
          <w:bottom w:val="nil"/>
          <w:right w:val="nil"/>
          <w:between w:val="nil"/>
        </w:pBdr>
        <w:ind w:left="180"/>
        <w:jc w:val="both"/>
        <w:rPr>
          <w:color w:val="000000"/>
        </w:rPr>
      </w:pPr>
    </w:p>
    <w:p w14:paraId="28A4FC6D" w14:textId="704D3C18" w:rsidR="00E75C3C" w:rsidRPr="009F3505" w:rsidRDefault="009F3505" w:rsidP="00BB0467">
      <w:pPr>
        <w:pBdr>
          <w:top w:val="nil"/>
          <w:left w:val="nil"/>
          <w:bottom w:val="nil"/>
          <w:right w:val="nil"/>
          <w:between w:val="nil"/>
        </w:pBdr>
        <w:ind w:left="180"/>
        <w:jc w:val="both"/>
        <w:rPr>
          <w:b/>
          <w:bCs/>
          <w:i/>
          <w:iCs/>
          <w:color w:val="000000"/>
        </w:rPr>
      </w:pPr>
      <w:r w:rsidRPr="00B65276">
        <w:rPr>
          <w:b/>
          <w:bCs/>
          <w:color w:val="000000"/>
          <w:lang w:val="en-US"/>
        </w:rPr>
        <w:t xml:space="preserve">Pengaruh </w:t>
      </w:r>
      <w:r w:rsidRPr="009F3505">
        <w:rPr>
          <w:b/>
          <w:bCs/>
          <w:i/>
          <w:iCs/>
          <w:color w:val="000000"/>
        </w:rPr>
        <w:t>Total Asset Turn Over</w:t>
      </w:r>
      <w:r w:rsidRPr="009F3505">
        <w:rPr>
          <w:b/>
          <w:bCs/>
          <w:color w:val="000000"/>
          <w:lang w:val="en-US"/>
        </w:rPr>
        <w:t xml:space="preserve"> </w:t>
      </w:r>
      <w:r w:rsidRPr="00B65276">
        <w:rPr>
          <w:b/>
          <w:bCs/>
          <w:color w:val="000000"/>
          <w:lang w:val="en-US"/>
        </w:rPr>
        <w:t xml:space="preserve">Terhadap </w:t>
      </w:r>
      <w:r w:rsidRPr="00E75C3C">
        <w:rPr>
          <w:b/>
          <w:bCs/>
          <w:i/>
          <w:iCs/>
          <w:color w:val="000000"/>
          <w:lang w:val="en-US"/>
        </w:rPr>
        <w:t xml:space="preserve">Net Profit Margin </w:t>
      </w:r>
      <w:r>
        <w:rPr>
          <w:b/>
          <w:bCs/>
          <w:color w:val="000000"/>
          <w:lang w:val="en-US"/>
        </w:rPr>
        <w:t>(NPM)</w:t>
      </w:r>
    </w:p>
    <w:p w14:paraId="00B75716" w14:textId="01EAB95A" w:rsidR="009F3505" w:rsidRPr="009F3505" w:rsidRDefault="009F3505" w:rsidP="009F3505">
      <w:pPr>
        <w:pBdr>
          <w:top w:val="nil"/>
          <w:left w:val="nil"/>
          <w:bottom w:val="nil"/>
          <w:right w:val="nil"/>
          <w:between w:val="nil"/>
        </w:pBdr>
        <w:ind w:left="180"/>
        <w:jc w:val="both"/>
        <w:rPr>
          <w:color w:val="000000"/>
        </w:rPr>
      </w:pPr>
      <w:bookmarkStart w:id="0" w:name="_Hlk154699078"/>
      <w:r w:rsidRPr="009F3505">
        <w:rPr>
          <w:color w:val="000000"/>
        </w:rPr>
        <w:t xml:space="preserve">Total Asset Turn Over </w:t>
      </w:r>
      <w:bookmarkEnd w:id="0"/>
      <w:r w:rsidRPr="009F3505">
        <w:rPr>
          <w:color w:val="000000"/>
        </w:rPr>
        <w:t xml:space="preserve">(TATO) </w:t>
      </w:r>
      <w:r>
        <w:rPr>
          <w:color w:val="000000"/>
          <w:lang w:val="en-US"/>
        </w:rPr>
        <w:t xml:space="preserve">merupakan </w:t>
      </w:r>
      <w:r w:rsidRPr="009F3505">
        <w:rPr>
          <w:color w:val="000000"/>
        </w:rPr>
        <w:t>rasio keuangan yang mencerminkan efisiensi perusahaan dalam menggunakan total asetnya untuk menghasilkan penjualan. Pengaruh TATO terhadap Net Profit Margin (NPM) menciptakan gambaran tentang hubungan antara produktivitas aset dan profitabilitas perusahaan.</w:t>
      </w:r>
    </w:p>
    <w:p w14:paraId="23AC02A2" w14:textId="77777777" w:rsidR="009F3505" w:rsidRPr="009F3505" w:rsidRDefault="009F3505" w:rsidP="009F3505">
      <w:pPr>
        <w:pBdr>
          <w:top w:val="nil"/>
          <w:left w:val="nil"/>
          <w:bottom w:val="nil"/>
          <w:right w:val="nil"/>
          <w:between w:val="nil"/>
        </w:pBdr>
        <w:ind w:left="180"/>
        <w:jc w:val="both"/>
        <w:rPr>
          <w:color w:val="000000"/>
        </w:rPr>
      </w:pPr>
      <w:r w:rsidRPr="009F3505">
        <w:rPr>
          <w:color w:val="000000"/>
        </w:rPr>
        <w:t>Menurut Lukman Syamsuddin (2011), TATO yang tinggi menunjukkan bahwa perusahaan dapat menghasilkan penjualan yang lebih tinggi dengan menggunakan asetnya secara efisien. Dalam konteks ini, perusahaan dapat meningkatkan pendapatan tanpa harus meningkatkan investasi dalam aset yang lebih besar. Efisiensi ini dapat berkontribusi pada peningkatan laba bersih.</w:t>
      </w:r>
    </w:p>
    <w:p w14:paraId="72A316D1" w14:textId="77777777" w:rsidR="009F3505" w:rsidRPr="009F3505" w:rsidRDefault="009F3505" w:rsidP="009F3505">
      <w:pPr>
        <w:pBdr>
          <w:top w:val="nil"/>
          <w:left w:val="nil"/>
          <w:bottom w:val="nil"/>
          <w:right w:val="nil"/>
          <w:between w:val="nil"/>
        </w:pBdr>
        <w:ind w:left="180"/>
        <w:jc w:val="both"/>
        <w:rPr>
          <w:color w:val="000000"/>
        </w:rPr>
      </w:pPr>
      <w:r w:rsidRPr="009F3505">
        <w:rPr>
          <w:color w:val="000000"/>
        </w:rPr>
        <w:t>Brigham dan Houston (2015) juga menyatakan bahwa TATO mencerminkan sejauh mana perusahaan dapat mengoptimalkan asetnya untuk mendukung operasional dan mencapai target penjualan. Jika perusahaan dapat menghasilkan penjualan yang lebih tinggi dengan aset yang sama, maka hal ini dapat meningkatkan profitabilitasnya.</w:t>
      </w:r>
    </w:p>
    <w:p w14:paraId="75AF5149" w14:textId="77777777" w:rsidR="009F3505" w:rsidRPr="009F3505" w:rsidRDefault="009F3505" w:rsidP="009F3505">
      <w:pPr>
        <w:pBdr>
          <w:top w:val="nil"/>
          <w:left w:val="nil"/>
          <w:bottom w:val="nil"/>
          <w:right w:val="nil"/>
          <w:between w:val="nil"/>
        </w:pBdr>
        <w:ind w:left="180"/>
        <w:jc w:val="both"/>
        <w:rPr>
          <w:color w:val="000000"/>
        </w:rPr>
      </w:pPr>
    </w:p>
    <w:p w14:paraId="61CE61C4" w14:textId="77777777" w:rsidR="009F3505" w:rsidRPr="009F3505" w:rsidRDefault="009F3505" w:rsidP="009F3505">
      <w:pPr>
        <w:pBdr>
          <w:top w:val="nil"/>
          <w:left w:val="nil"/>
          <w:bottom w:val="nil"/>
          <w:right w:val="nil"/>
          <w:between w:val="nil"/>
        </w:pBdr>
        <w:ind w:left="180"/>
        <w:jc w:val="both"/>
        <w:rPr>
          <w:color w:val="000000"/>
        </w:rPr>
      </w:pPr>
      <w:r w:rsidRPr="009F3505">
        <w:rPr>
          <w:color w:val="000000"/>
        </w:rPr>
        <w:lastRenderedPageBreak/>
        <w:t>Namun, TATO yang terlalu tinggi juga perlu diwaspadai. Penelitian oleh J. P. Sitanggang (2014) menunjukkan bahwa terlalu agresif dalam memutar aset dapat menghasilkan risiko kurangnya kualitas layanan atau produk. Oleh karena itu, penting untuk mencari keseimbangan antara efisiensi operasional dan mempertahankan kualitas.</w:t>
      </w:r>
    </w:p>
    <w:p w14:paraId="48F1EE18" w14:textId="77777777" w:rsidR="009F3505" w:rsidRPr="009F3505" w:rsidRDefault="009F3505" w:rsidP="009F3505">
      <w:pPr>
        <w:pBdr>
          <w:top w:val="nil"/>
          <w:left w:val="nil"/>
          <w:bottom w:val="nil"/>
          <w:right w:val="nil"/>
          <w:between w:val="nil"/>
        </w:pBdr>
        <w:ind w:left="180"/>
        <w:jc w:val="both"/>
        <w:rPr>
          <w:color w:val="000000"/>
        </w:rPr>
      </w:pPr>
      <w:r w:rsidRPr="009F3505">
        <w:rPr>
          <w:color w:val="000000"/>
        </w:rPr>
        <w:t>Berdasarkan pandangan ini, hipotesis penelitian dapat dirumuskan sebagai berikut:</w:t>
      </w:r>
    </w:p>
    <w:p w14:paraId="0447ED0F" w14:textId="77777777" w:rsidR="009F3505" w:rsidRPr="009F3505" w:rsidRDefault="009F3505" w:rsidP="009F3505">
      <w:pPr>
        <w:pBdr>
          <w:top w:val="nil"/>
          <w:left w:val="nil"/>
          <w:bottom w:val="nil"/>
          <w:right w:val="nil"/>
          <w:between w:val="nil"/>
        </w:pBdr>
        <w:ind w:left="180"/>
        <w:jc w:val="both"/>
        <w:rPr>
          <w:color w:val="000000"/>
        </w:rPr>
      </w:pPr>
    </w:p>
    <w:p w14:paraId="565DFFDC" w14:textId="77777777" w:rsidR="009F3505" w:rsidRPr="009F3505" w:rsidRDefault="009F3505" w:rsidP="009F3505">
      <w:pPr>
        <w:pBdr>
          <w:top w:val="nil"/>
          <w:left w:val="nil"/>
          <w:bottom w:val="nil"/>
          <w:right w:val="nil"/>
          <w:between w:val="nil"/>
        </w:pBdr>
        <w:ind w:left="180"/>
        <w:jc w:val="both"/>
        <w:rPr>
          <w:color w:val="000000"/>
        </w:rPr>
      </w:pPr>
      <w:r w:rsidRPr="009F3505">
        <w:rPr>
          <w:color w:val="000000"/>
        </w:rPr>
        <w:t>H3: Total Asset Turn Over (TATO) berpengaruh positif dan signifikan terhadap Net Profit Margin (NPM) perusahaan.</w:t>
      </w:r>
    </w:p>
    <w:p w14:paraId="6F2D8997" w14:textId="77777777" w:rsidR="009F3505" w:rsidRPr="009F3505" w:rsidRDefault="009F3505" w:rsidP="009F3505">
      <w:pPr>
        <w:pBdr>
          <w:top w:val="nil"/>
          <w:left w:val="nil"/>
          <w:bottom w:val="nil"/>
          <w:right w:val="nil"/>
          <w:between w:val="nil"/>
        </w:pBdr>
        <w:ind w:left="180"/>
        <w:jc w:val="both"/>
        <w:rPr>
          <w:color w:val="000000"/>
        </w:rPr>
      </w:pPr>
    </w:p>
    <w:p w14:paraId="05222B0B" w14:textId="24D571C3" w:rsidR="00E75C3C" w:rsidRDefault="009F3505" w:rsidP="009F3505">
      <w:pPr>
        <w:pBdr>
          <w:top w:val="nil"/>
          <w:left w:val="nil"/>
          <w:bottom w:val="nil"/>
          <w:right w:val="nil"/>
          <w:between w:val="nil"/>
        </w:pBdr>
        <w:ind w:left="180"/>
        <w:jc w:val="both"/>
        <w:rPr>
          <w:color w:val="000000"/>
          <w:lang w:val="en-US"/>
        </w:rPr>
      </w:pPr>
      <w:r w:rsidRPr="009F3505">
        <w:rPr>
          <w:color w:val="000000"/>
        </w:rPr>
        <w:t>Penelitian ini diharapkan dapat memberikan pemahaman yang lebih dalam tentang bagaimana efisiensi penggunaan total aset perusahaan dapat memengaruhi profitabilitasnya</w:t>
      </w:r>
      <w:r>
        <w:rPr>
          <w:color w:val="000000"/>
          <w:lang w:val="en-US"/>
        </w:rPr>
        <w:t>.</w:t>
      </w:r>
    </w:p>
    <w:p w14:paraId="031C0D0F" w14:textId="77777777" w:rsidR="009F3505" w:rsidRDefault="009F3505" w:rsidP="009F3505">
      <w:pPr>
        <w:pBdr>
          <w:top w:val="nil"/>
          <w:left w:val="nil"/>
          <w:bottom w:val="nil"/>
          <w:right w:val="nil"/>
          <w:between w:val="nil"/>
        </w:pBdr>
        <w:ind w:left="180"/>
        <w:jc w:val="both"/>
        <w:rPr>
          <w:color w:val="000000"/>
          <w:lang w:val="en-US"/>
        </w:rPr>
      </w:pPr>
    </w:p>
    <w:p w14:paraId="79EBA997" w14:textId="2DDFC82B" w:rsidR="009F3505" w:rsidRDefault="009F3505" w:rsidP="009F3505">
      <w:pPr>
        <w:pBdr>
          <w:top w:val="nil"/>
          <w:left w:val="nil"/>
          <w:bottom w:val="nil"/>
          <w:right w:val="nil"/>
          <w:between w:val="nil"/>
        </w:pBdr>
        <w:ind w:left="180"/>
        <w:jc w:val="both"/>
        <w:rPr>
          <w:b/>
          <w:bCs/>
          <w:color w:val="000000"/>
          <w:lang w:val="en-US"/>
        </w:rPr>
      </w:pPr>
      <w:r w:rsidRPr="00B65276">
        <w:rPr>
          <w:b/>
          <w:bCs/>
          <w:color w:val="000000"/>
          <w:lang w:val="en-US"/>
        </w:rPr>
        <w:t xml:space="preserve">Pengaruh </w:t>
      </w:r>
      <w:r w:rsidRPr="009F3505">
        <w:rPr>
          <w:b/>
          <w:bCs/>
          <w:color w:val="000000"/>
          <w:lang w:val="en-US"/>
        </w:rPr>
        <w:t>CR</w:t>
      </w:r>
      <w:r>
        <w:rPr>
          <w:b/>
          <w:bCs/>
          <w:i/>
          <w:iCs/>
          <w:color w:val="000000"/>
          <w:lang w:val="en-US"/>
        </w:rPr>
        <w:t xml:space="preserve">, </w:t>
      </w:r>
      <w:r w:rsidRPr="009F3505">
        <w:rPr>
          <w:b/>
          <w:bCs/>
          <w:color w:val="000000"/>
          <w:lang w:val="en-US"/>
        </w:rPr>
        <w:t>DAR</w:t>
      </w:r>
      <w:r>
        <w:rPr>
          <w:b/>
          <w:bCs/>
          <w:i/>
          <w:iCs/>
          <w:color w:val="000000"/>
          <w:lang w:val="en-US"/>
        </w:rPr>
        <w:t xml:space="preserve">, </w:t>
      </w:r>
      <w:r>
        <w:rPr>
          <w:b/>
          <w:bCs/>
          <w:color w:val="000000"/>
          <w:lang w:val="en-US"/>
        </w:rPr>
        <w:t xml:space="preserve">dan </w:t>
      </w:r>
      <w:r w:rsidRPr="009F3505">
        <w:rPr>
          <w:b/>
          <w:bCs/>
          <w:color w:val="000000"/>
          <w:lang w:val="en-US"/>
        </w:rPr>
        <w:t>TATO</w:t>
      </w:r>
      <w:r>
        <w:rPr>
          <w:b/>
          <w:bCs/>
          <w:i/>
          <w:iCs/>
          <w:color w:val="000000"/>
          <w:lang w:val="en-US"/>
        </w:rPr>
        <w:t xml:space="preserve"> </w:t>
      </w:r>
      <w:r>
        <w:rPr>
          <w:b/>
          <w:bCs/>
          <w:color w:val="000000"/>
          <w:lang w:val="en-US"/>
        </w:rPr>
        <w:t>S</w:t>
      </w:r>
      <w:r w:rsidRPr="009F3505">
        <w:rPr>
          <w:b/>
          <w:bCs/>
          <w:color w:val="000000"/>
          <w:lang w:val="en-US"/>
        </w:rPr>
        <w:t>ecara</w:t>
      </w:r>
      <w:r w:rsidRPr="009F3505">
        <w:rPr>
          <w:b/>
          <w:bCs/>
          <w:color w:val="000000"/>
          <w:lang w:val="en-US"/>
        </w:rPr>
        <w:t xml:space="preserve"> </w:t>
      </w:r>
      <w:r>
        <w:rPr>
          <w:b/>
          <w:bCs/>
          <w:color w:val="000000"/>
          <w:lang w:val="en-US"/>
        </w:rPr>
        <w:t xml:space="preserve">Simultan </w:t>
      </w:r>
      <w:r w:rsidRPr="00B65276">
        <w:rPr>
          <w:b/>
          <w:bCs/>
          <w:color w:val="000000"/>
          <w:lang w:val="en-US"/>
        </w:rPr>
        <w:t xml:space="preserve">Terhadap </w:t>
      </w:r>
      <w:r>
        <w:rPr>
          <w:b/>
          <w:bCs/>
          <w:color w:val="000000"/>
          <w:lang w:val="en-US"/>
        </w:rPr>
        <w:t>NPM</w:t>
      </w:r>
    </w:p>
    <w:p w14:paraId="7CCCC7B2" w14:textId="77777777" w:rsidR="009F3505" w:rsidRPr="009F3505" w:rsidRDefault="009F3505" w:rsidP="009F3505">
      <w:pPr>
        <w:pBdr>
          <w:top w:val="nil"/>
          <w:left w:val="nil"/>
          <w:bottom w:val="nil"/>
          <w:right w:val="nil"/>
          <w:between w:val="nil"/>
        </w:pBdr>
        <w:ind w:left="180"/>
        <w:jc w:val="both"/>
        <w:rPr>
          <w:color w:val="000000"/>
        </w:rPr>
      </w:pPr>
      <w:r w:rsidRPr="009F3505">
        <w:rPr>
          <w:color w:val="000000"/>
        </w:rPr>
        <w:t>Pengaruh Current Ratio (CR), Debt to Asset Ratio (DAR), dan Total Asset Turn Over (TATO) terhadap Net Profit Margin (NPM) merupakan aspek penting dalam menganalisis performa keuangan perusahaan. Ketiga rasio ini menciptakan kerangka kerja yang komprehensif untuk memahami bagaimana aspek likuiditas, struktur modal, dan efisiensi aset saling berinteraksi dalam memengaruhi profitabilitas.</w:t>
      </w:r>
    </w:p>
    <w:p w14:paraId="6DB87BAC" w14:textId="5279B955" w:rsidR="009F3505" w:rsidRPr="009F3505" w:rsidRDefault="009F3505" w:rsidP="009F3505">
      <w:pPr>
        <w:pBdr>
          <w:top w:val="nil"/>
          <w:left w:val="nil"/>
          <w:bottom w:val="nil"/>
          <w:right w:val="nil"/>
          <w:between w:val="nil"/>
        </w:pBdr>
        <w:ind w:left="180"/>
        <w:jc w:val="both"/>
        <w:rPr>
          <w:color w:val="000000"/>
        </w:rPr>
      </w:pPr>
      <w:r w:rsidRPr="009F3505">
        <w:rPr>
          <w:color w:val="000000"/>
        </w:rPr>
        <w:t>Menurut Harahap (2018), Current Ratio (CR) adalah rasio yang mencerminkan kemampuan perusahaan untuk membayar kewajiban jangka pendek dengan menggunakan aset lancar. Debt to Asset Ratio (DAR), seperti yang dijelaskan oleh Horne dan Wachowicz (2015), mengukur sejauh mana aset perusahaan didukung oleh pendanaan utang. Sementara itu, Total Asset Turn Over (TATO), seperti yang diuraikan oleh Lukman Syamsuddin (2011), menunjukkan efisiensi perusahaan dalam menggunakan total aset untuk menghasilkan penjualan.</w:t>
      </w:r>
    </w:p>
    <w:p w14:paraId="572BFF84" w14:textId="22C7D682" w:rsidR="009F3505" w:rsidRPr="009F3505" w:rsidRDefault="009F3505" w:rsidP="009F3505">
      <w:pPr>
        <w:pBdr>
          <w:top w:val="nil"/>
          <w:left w:val="nil"/>
          <w:bottom w:val="nil"/>
          <w:right w:val="nil"/>
          <w:between w:val="nil"/>
        </w:pBdr>
        <w:ind w:left="180"/>
        <w:jc w:val="both"/>
        <w:rPr>
          <w:color w:val="000000"/>
        </w:rPr>
      </w:pPr>
      <w:r w:rsidRPr="009F3505">
        <w:rPr>
          <w:color w:val="000000"/>
        </w:rPr>
        <w:t>Pengaruh ketiga rasio ini secara simultan terhadap Net Profit Margin (NPM) memberikan gambaran holistik tentang kesehatan keuangan perusahaan. Menurut Kasmir (2014), NPM adalah rasio yang mengukur seberapa efisien perusahaan menghasilkan keuntungan bersih dari penjualan.</w:t>
      </w:r>
    </w:p>
    <w:p w14:paraId="7CF9030F" w14:textId="677D10E4" w:rsidR="009F3505" w:rsidRPr="009F3505" w:rsidRDefault="009F3505" w:rsidP="009F3505">
      <w:pPr>
        <w:pBdr>
          <w:top w:val="nil"/>
          <w:left w:val="nil"/>
          <w:bottom w:val="nil"/>
          <w:right w:val="nil"/>
          <w:between w:val="nil"/>
        </w:pBdr>
        <w:ind w:left="180"/>
        <w:jc w:val="both"/>
        <w:rPr>
          <w:color w:val="000000"/>
        </w:rPr>
      </w:pPr>
      <w:r w:rsidRPr="009F3505">
        <w:rPr>
          <w:color w:val="000000"/>
        </w:rPr>
        <w:t>Ross et al. (2018) mengemukakan bahwa pengaruh CR yang tinggi dapat mencerminkan tingkat likuiditas yang baik, memberikan fleksibilitas operasional kepada perusahaan. Di sisi lain, CR yang terlalu tinggi juga dapat menandakan ketidakoptimalan dalam pengelolaan aset. Horne dan Wachowicz (2015) menyatakan bahwa DAR yang rendah dapat menciptakan risiko kurangnya dukungan dari modal utang yang dapat memengaruhi profitabilitas. Syamsuddin (2011) menambahkan bahwa TATO yang tinggi dapat meningkatkan efisiensi aset, tetapi perlu dicatat bahwa TATO yang terlalu tinggi juga dapat mengorbankan kualitas layanan atau produk.</w:t>
      </w:r>
    </w:p>
    <w:p w14:paraId="77F7591F" w14:textId="77777777" w:rsidR="009F3505" w:rsidRPr="009F3505" w:rsidRDefault="009F3505" w:rsidP="009F3505">
      <w:pPr>
        <w:pBdr>
          <w:top w:val="nil"/>
          <w:left w:val="nil"/>
          <w:bottom w:val="nil"/>
          <w:right w:val="nil"/>
          <w:between w:val="nil"/>
        </w:pBdr>
        <w:ind w:left="180"/>
        <w:jc w:val="both"/>
        <w:rPr>
          <w:color w:val="000000"/>
        </w:rPr>
      </w:pPr>
      <w:r w:rsidRPr="009F3505">
        <w:rPr>
          <w:color w:val="000000"/>
        </w:rPr>
        <w:t>Dengan merangkum pandangan ini, hipotesis penelitian dapat dirumuskan sebagai berikut:</w:t>
      </w:r>
    </w:p>
    <w:p w14:paraId="6722F212" w14:textId="77777777" w:rsidR="009F3505" w:rsidRPr="009F3505" w:rsidRDefault="009F3505" w:rsidP="009F3505">
      <w:pPr>
        <w:pBdr>
          <w:top w:val="nil"/>
          <w:left w:val="nil"/>
          <w:bottom w:val="nil"/>
          <w:right w:val="nil"/>
          <w:between w:val="nil"/>
        </w:pBdr>
        <w:ind w:left="180"/>
        <w:jc w:val="both"/>
        <w:rPr>
          <w:color w:val="000000"/>
        </w:rPr>
      </w:pPr>
    </w:p>
    <w:p w14:paraId="42AD8776" w14:textId="35F6C1BA" w:rsidR="009F3505" w:rsidRPr="009F3505" w:rsidRDefault="009F3505" w:rsidP="009F3505">
      <w:pPr>
        <w:pBdr>
          <w:top w:val="nil"/>
          <w:left w:val="nil"/>
          <w:bottom w:val="nil"/>
          <w:right w:val="nil"/>
          <w:between w:val="nil"/>
        </w:pBdr>
        <w:ind w:left="180"/>
        <w:jc w:val="both"/>
        <w:rPr>
          <w:color w:val="000000"/>
        </w:rPr>
      </w:pPr>
      <w:r w:rsidRPr="009F3505">
        <w:rPr>
          <w:b/>
          <w:bCs/>
          <w:color w:val="000000"/>
        </w:rPr>
        <w:t>H4:</w:t>
      </w:r>
      <w:r w:rsidRPr="009F3505">
        <w:rPr>
          <w:color w:val="000000"/>
        </w:rPr>
        <w:t xml:space="preserve"> Current Ratio (CR), Debt to Asset Ratio (DAR), dan Total Asset Turn Over (TATO) secara simultan berpengaruh signifikan terhadap Net Profit Margin (NPM).</w:t>
      </w:r>
    </w:p>
    <w:p w14:paraId="16329B6D" w14:textId="77777777" w:rsidR="009F3505" w:rsidRPr="009F3505" w:rsidRDefault="009F3505" w:rsidP="009F3505">
      <w:pPr>
        <w:pBdr>
          <w:top w:val="nil"/>
          <w:left w:val="nil"/>
          <w:bottom w:val="nil"/>
          <w:right w:val="nil"/>
          <w:between w:val="nil"/>
        </w:pBdr>
        <w:ind w:left="180"/>
        <w:jc w:val="both"/>
        <w:rPr>
          <w:color w:val="000000"/>
        </w:rPr>
      </w:pPr>
    </w:p>
    <w:p w14:paraId="4184E8B4" w14:textId="2E816B1B" w:rsidR="009F3505" w:rsidRPr="009F3505" w:rsidRDefault="009F3505" w:rsidP="009F3505">
      <w:pPr>
        <w:pBdr>
          <w:top w:val="nil"/>
          <w:left w:val="nil"/>
          <w:bottom w:val="nil"/>
          <w:right w:val="nil"/>
          <w:between w:val="nil"/>
        </w:pBdr>
        <w:ind w:left="180"/>
        <w:jc w:val="both"/>
        <w:rPr>
          <w:color w:val="000000"/>
        </w:rPr>
      </w:pPr>
      <w:r w:rsidRPr="009F3505">
        <w:rPr>
          <w:color w:val="000000"/>
        </w:rPr>
        <w:t>Penelitian ini diharapkan memberikan wawasan mendalam tentang bagaimana interaksi ketiga rasio ini dapat mempengaruhi profitabilitas perusahaan.</w:t>
      </w:r>
    </w:p>
    <w:p w14:paraId="01BEEE0D" w14:textId="77777777" w:rsidR="009F3505" w:rsidRPr="009F3505" w:rsidRDefault="009F3505" w:rsidP="009F3505">
      <w:pPr>
        <w:pBdr>
          <w:top w:val="nil"/>
          <w:left w:val="nil"/>
          <w:bottom w:val="nil"/>
          <w:right w:val="nil"/>
          <w:between w:val="nil"/>
        </w:pBdr>
        <w:ind w:left="180"/>
        <w:jc w:val="both"/>
        <w:rPr>
          <w:color w:val="000000"/>
          <w:lang w:val="en-US"/>
        </w:rPr>
      </w:pPr>
    </w:p>
    <w:p w14:paraId="69545226" w14:textId="77777777" w:rsidR="00E75C3C" w:rsidRDefault="00E75C3C" w:rsidP="00BB0467">
      <w:pPr>
        <w:pBdr>
          <w:top w:val="nil"/>
          <w:left w:val="nil"/>
          <w:bottom w:val="nil"/>
          <w:right w:val="nil"/>
          <w:between w:val="nil"/>
        </w:pBdr>
        <w:ind w:left="180"/>
        <w:jc w:val="both"/>
        <w:rPr>
          <w:color w:val="000000"/>
        </w:rPr>
      </w:pPr>
    </w:p>
    <w:p w14:paraId="07B15234" w14:textId="77777777" w:rsidR="00D23798" w:rsidRDefault="00000000">
      <w:pPr>
        <w:pBdr>
          <w:top w:val="nil"/>
          <w:left w:val="nil"/>
          <w:bottom w:val="nil"/>
          <w:right w:val="nil"/>
          <w:between w:val="nil"/>
        </w:pBdr>
        <w:ind w:left="180"/>
        <w:jc w:val="both"/>
        <w:rPr>
          <w:b/>
          <w:color w:val="000000"/>
        </w:rPr>
      </w:pPr>
      <w:r>
        <w:rPr>
          <w:b/>
          <w:color w:val="000000"/>
        </w:rPr>
        <w:t>METODE PENELITIAN</w:t>
      </w:r>
    </w:p>
    <w:p w14:paraId="18F65067" w14:textId="16D28874" w:rsidR="00AB0C89" w:rsidRPr="00AB0C89" w:rsidRDefault="00AB0C89" w:rsidP="00AB0C89">
      <w:pPr>
        <w:pBdr>
          <w:top w:val="nil"/>
          <w:left w:val="nil"/>
          <w:bottom w:val="nil"/>
          <w:right w:val="nil"/>
          <w:between w:val="nil"/>
        </w:pBdr>
        <w:ind w:left="180"/>
        <w:jc w:val="both"/>
        <w:rPr>
          <w:color w:val="000000"/>
        </w:rPr>
      </w:pPr>
      <w:r w:rsidRPr="00AB0C89">
        <w:rPr>
          <w:color w:val="000000"/>
        </w:rPr>
        <w:lastRenderedPageBreak/>
        <w:t>Penelitian ini menggunakan pendekatan penelitian asosiatif kausal. Pendekatan ini difokuskan pada hubungan sebab-akibat antara dua variabel atau lebih (Sugiyono, 2016). Dalam konteks ini, penelitian ini akan mengeksplorasi pengaruh Current Ratio (CR), Debt to Asset Ratio (DAR), dan Total Asset Turn Over (TATO) terhadap Net Profit Margin (NPM) perusahaan tambang yang terdaftar di Bursa Efek Indonesia.</w:t>
      </w:r>
    </w:p>
    <w:p w14:paraId="440ACB50" w14:textId="37AA2ECF" w:rsidR="00AB0C89" w:rsidRPr="00AB0C89" w:rsidRDefault="00AB0C89" w:rsidP="00AB0C89">
      <w:pPr>
        <w:pBdr>
          <w:top w:val="nil"/>
          <w:left w:val="nil"/>
          <w:bottom w:val="nil"/>
          <w:right w:val="nil"/>
          <w:between w:val="nil"/>
        </w:pBdr>
        <w:ind w:left="180"/>
        <w:jc w:val="both"/>
        <w:rPr>
          <w:color w:val="000000"/>
        </w:rPr>
      </w:pPr>
      <w:r w:rsidRPr="00AB0C89">
        <w:rPr>
          <w:color w:val="000000"/>
        </w:rPr>
        <w:t>Metode penelitian ini menggunakan pendekatan kuantitatif dengan mengumpulkan data sekunder berupa laporan keuangan perusahaan tambang. Metodologi penelitian kuantitatif digunakan untuk mendapatkan data yang valid dengan tujuan menemukan, membuktikan, dan mengembangkan pengetahuan dalam bidang keuangan (Sugiyono, 2016).</w:t>
      </w:r>
    </w:p>
    <w:p w14:paraId="6D268A5C" w14:textId="240BD945" w:rsidR="00AB0C89" w:rsidRPr="00AB0C89" w:rsidRDefault="00AB0C89" w:rsidP="00AB0C89">
      <w:pPr>
        <w:pBdr>
          <w:top w:val="nil"/>
          <w:left w:val="nil"/>
          <w:bottom w:val="nil"/>
          <w:right w:val="nil"/>
          <w:between w:val="nil"/>
        </w:pBdr>
        <w:ind w:left="180"/>
        <w:jc w:val="both"/>
        <w:rPr>
          <w:color w:val="000000"/>
        </w:rPr>
      </w:pPr>
      <w:r w:rsidRPr="00AB0C89">
        <w:rPr>
          <w:color w:val="000000"/>
        </w:rPr>
        <w:t>Penelitian dilakukan di Galeri Investasi FEB – UPDM (B) dan mengambil data laporan keuangan perusahaan tambang yang terdaftar di Bursa Efek Indonesia pada periode 2017-2021. Waktu penelitian dimulai pada bulan Maret 202</w:t>
      </w:r>
      <w:r w:rsidR="009A47AE">
        <w:rPr>
          <w:color w:val="000000"/>
          <w:lang w:val="en-US"/>
        </w:rPr>
        <w:t>3</w:t>
      </w:r>
      <w:r w:rsidRPr="00AB0C89">
        <w:rPr>
          <w:color w:val="000000"/>
        </w:rPr>
        <w:t xml:space="preserve"> hingga bulan Agustus 202</w:t>
      </w:r>
      <w:r w:rsidR="009A47AE">
        <w:rPr>
          <w:color w:val="000000"/>
          <w:lang w:val="en-US"/>
        </w:rPr>
        <w:t>3</w:t>
      </w:r>
      <w:r w:rsidRPr="00AB0C89">
        <w:rPr>
          <w:color w:val="000000"/>
        </w:rPr>
        <w:t>.</w:t>
      </w:r>
    </w:p>
    <w:p w14:paraId="7A96E481" w14:textId="77777777" w:rsidR="00AB0C89" w:rsidRPr="00AB0C89" w:rsidRDefault="00AB0C89" w:rsidP="00AB0C89">
      <w:pPr>
        <w:pBdr>
          <w:top w:val="nil"/>
          <w:left w:val="nil"/>
          <w:bottom w:val="nil"/>
          <w:right w:val="nil"/>
          <w:between w:val="nil"/>
        </w:pBdr>
        <w:ind w:left="180"/>
        <w:jc w:val="both"/>
        <w:rPr>
          <w:color w:val="000000"/>
        </w:rPr>
      </w:pPr>
    </w:p>
    <w:p w14:paraId="028761F7" w14:textId="7D122958" w:rsidR="00AB0C89" w:rsidRPr="00AB0C89" w:rsidRDefault="00AB0C89" w:rsidP="00AB0C89">
      <w:pPr>
        <w:pBdr>
          <w:top w:val="nil"/>
          <w:left w:val="nil"/>
          <w:bottom w:val="nil"/>
          <w:right w:val="nil"/>
          <w:between w:val="nil"/>
        </w:pBdr>
        <w:ind w:left="180"/>
        <w:jc w:val="both"/>
        <w:rPr>
          <w:b/>
          <w:bCs/>
          <w:color w:val="000000"/>
        </w:rPr>
      </w:pPr>
      <w:r w:rsidRPr="00AB0C89">
        <w:rPr>
          <w:b/>
          <w:bCs/>
          <w:color w:val="000000"/>
        </w:rPr>
        <w:t>Populasi dan Sampel</w:t>
      </w:r>
    </w:p>
    <w:p w14:paraId="1EC5F256" w14:textId="77777777" w:rsidR="00AB0C89" w:rsidRPr="00537F12" w:rsidRDefault="00AB0C89" w:rsidP="00AB0C89">
      <w:pPr>
        <w:pBdr>
          <w:top w:val="nil"/>
          <w:left w:val="nil"/>
          <w:bottom w:val="nil"/>
          <w:right w:val="nil"/>
          <w:between w:val="nil"/>
        </w:pBdr>
        <w:ind w:left="180"/>
        <w:jc w:val="both"/>
        <w:rPr>
          <w:color w:val="000000"/>
        </w:rPr>
      </w:pPr>
      <w:r w:rsidRPr="00AB0C89">
        <w:rPr>
          <w:color w:val="000000"/>
        </w:rPr>
        <w:t xml:space="preserve">Populasi penelitian ini adalah seluruh perusahaan tambang yang terdaftar di Bursa Efek Indonesia (BEI) pada periode 2017-2021, yang berjumlah 49 perusahaan. Sampel dipilih </w:t>
      </w:r>
      <w:r w:rsidRPr="00537F12">
        <w:rPr>
          <w:color w:val="000000"/>
        </w:rPr>
        <w:t>berdasarkan kriteria sebagai berikut:</w:t>
      </w:r>
    </w:p>
    <w:p w14:paraId="1C372B3A" w14:textId="77777777" w:rsidR="00AB0C89" w:rsidRPr="00537F12" w:rsidRDefault="00AB0C89" w:rsidP="00AB0C89">
      <w:pPr>
        <w:pStyle w:val="ListParagraph"/>
        <w:numPr>
          <w:ilvl w:val="0"/>
          <w:numId w:val="1"/>
        </w:numPr>
        <w:pBdr>
          <w:top w:val="nil"/>
          <w:left w:val="nil"/>
          <w:bottom w:val="nil"/>
          <w:right w:val="nil"/>
          <w:between w:val="nil"/>
        </w:pBdr>
        <w:jc w:val="both"/>
        <w:rPr>
          <w:rFonts w:ascii="Times New Roman" w:hAnsi="Times New Roman" w:cs="Times New Roman"/>
          <w:color w:val="000000"/>
          <w:sz w:val="24"/>
          <w:szCs w:val="24"/>
        </w:rPr>
      </w:pPr>
      <w:r w:rsidRPr="00537F12">
        <w:rPr>
          <w:rFonts w:ascii="Times New Roman" w:hAnsi="Times New Roman" w:cs="Times New Roman"/>
          <w:color w:val="000000"/>
          <w:sz w:val="24"/>
          <w:szCs w:val="24"/>
        </w:rPr>
        <w:t>Perusahaan tambang terdaftar di BEI selama tahun 2017-2021.</w:t>
      </w:r>
    </w:p>
    <w:p w14:paraId="0B820BDE" w14:textId="77777777" w:rsidR="00AB0C89" w:rsidRPr="00537F12" w:rsidRDefault="00AB0C89" w:rsidP="00AB0C89">
      <w:pPr>
        <w:pStyle w:val="ListParagraph"/>
        <w:numPr>
          <w:ilvl w:val="0"/>
          <w:numId w:val="1"/>
        </w:numPr>
        <w:pBdr>
          <w:top w:val="nil"/>
          <w:left w:val="nil"/>
          <w:bottom w:val="nil"/>
          <w:right w:val="nil"/>
          <w:between w:val="nil"/>
        </w:pBdr>
        <w:jc w:val="both"/>
        <w:rPr>
          <w:rFonts w:ascii="Times New Roman" w:hAnsi="Times New Roman" w:cs="Times New Roman"/>
          <w:color w:val="000000"/>
          <w:sz w:val="24"/>
          <w:szCs w:val="24"/>
        </w:rPr>
      </w:pPr>
      <w:r w:rsidRPr="00537F12">
        <w:rPr>
          <w:rFonts w:ascii="Times New Roman" w:hAnsi="Times New Roman" w:cs="Times New Roman"/>
          <w:color w:val="000000"/>
          <w:sz w:val="24"/>
          <w:szCs w:val="24"/>
        </w:rPr>
        <w:t>Perusahaan menerbitkan dan mempublikasikan laporan keuangan tahunan selama periode pengamatan.</w:t>
      </w:r>
    </w:p>
    <w:p w14:paraId="170DF52E" w14:textId="77777777" w:rsidR="00AB0C89" w:rsidRPr="00537F12" w:rsidRDefault="00AB0C89" w:rsidP="00AB0C89">
      <w:pPr>
        <w:pStyle w:val="ListParagraph"/>
        <w:numPr>
          <w:ilvl w:val="0"/>
          <w:numId w:val="1"/>
        </w:numPr>
        <w:pBdr>
          <w:top w:val="nil"/>
          <w:left w:val="nil"/>
          <w:bottom w:val="nil"/>
          <w:right w:val="nil"/>
          <w:between w:val="nil"/>
        </w:pBdr>
        <w:jc w:val="both"/>
        <w:rPr>
          <w:rFonts w:ascii="Times New Roman" w:hAnsi="Times New Roman" w:cs="Times New Roman"/>
          <w:color w:val="000000"/>
          <w:sz w:val="24"/>
          <w:szCs w:val="24"/>
        </w:rPr>
      </w:pPr>
      <w:r w:rsidRPr="00537F12">
        <w:rPr>
          <w:rFonts w:ascii="Times New Roman" w:hAnsi="Times New Roman" w:cs="Times New Roman"/>
          <w:color w:val="000000"/>
          <w:sz w:val="24"/>
          <w:szCs w:val="24"/>
        </w:rPr>
        <w:t>Laporan keuangan yang dipublikasikan telah diaudit oleh Auditor Independen.</w:t>
      </w:r>
    </w:p>
    <w:p w14:paraId="0D839BAA" w14:textId="77777777" w:rsidR="00AB0C89" w:rsidRPr="00537F12" w:rsidRDefault="00AB0C89" w:rsidP="00AB0C89">
      <w:pPr>
        <w:pStyle w:val="ListParagraph"/>
        <w:numPr>
          <w:ilvl w:val="0"/>
          <w:numId w:val="1"/>
        </w:numPr>
        <w:pBdr>
          <w:top w:val="nil"/>
          <w:left w:val="nil"/>
          <w:bottom w:val="nil"/>
          <w:right w:val="nil"/>
          <w:between w:val="nil"/>
        </w:pBdr>
        <w:jc w:val="both"/>
        <w:rPr>
          <w:rFonts w:ascii="Times New Roman" w:hAnsi="Times New Roman" w:cs="Times New Roman"/>
          <w:color w:val="000000"/>
          <w:sz w:val="24"/>
          <w:szCs w:val="24"/>
        </w:rPr>
      </w:pPr>
      <w:r w:rsidRPr="00537F12">
        <w:rPr>
          <w:rFonts w:ascii="Times New Roman" w:hAnsi="Times New Roman" w:cs="Times New Roman"/>
          <w:color w:val="000000"/>
          <w:sz w:val="24"/>
          <w:szCs w:val="24"/>
        </w:rPr>
        <w:t>Data mengenai variabel yang diteliti tersedia dengan lengkap.</w:t>
      </w:r>
    </w:p>
    <w:p w14:paraId="0CF773D8" w14:textId="77777777" w:rsidR="00AB0C89" w:rsidRPr="00537F12" w:rsidRDefault="00AB0C89" w:rsidP="00AB0C89">
      <w:pPr>
        <w:pStyle w:val="ListParagraph"/>
        <w:numPr>
          <w:ilvl w:val="0"/>
          <w:numId w:val="1"/>
        </w:numPr>
        <w:pBdr>
          <w:top w:val="nil"/>
          <w:left w:val="nil"/>
          <w:bottom w:val="nil"/>
          <w:right w:val="nil"/>
          <w:between w:val="nil"/>
        </w:pBdr>
        <w:jc w:val="both"/>
        <w:rPr>
          <w:rFonts w:ascii="Times New Roman" w:hAnsi="Times New Roman" w:cs="Times New Roman"/>
          <w:color w:val="000000"/>
          <w:sz w:val="24"/>
          <w:szCs w:val="24"/>
        </w:rPr>
      </w:pPr>
      <w:r w:rsidRPr="00537F12">
        <w:rPr>
          <w:rFonts w:ascii="Times New Roman" w:hAnsi="Times New Roman" w:cs="Times New Roman"/>
          <w:color w:val="000000"/>
          <w:sz w:val="24"/>
          <w:szCs w:val="24"/>
        </w:rPr>
        <w:t>Berdasarkan kriteria tersebut, didapatkan 31 perusahaan tambang sebagai sampel penelitian.</w:t>
      </w:r>
    </w:p>
    <w:p w14:paraId="34227210" w14:textId="047D1933" w:rsidR="00AB0C89" w:rsidRPr="00AB0C89" w:rsidRDefault="00AB0C89" w:rsidP="00AB0C89">
      <w:pPr>
        <w:pBdr>
          <w:top w:val="nil"/>
          <w:left w:val="nil"/>
          <w:bottom w:val="nil"/>
          <w:right w:val="nil"/>
          <w:between w:val="nil"/>
        </w:pBdr>
        <w:ind w:left="180"/>
        <w:jc w:val="both"/>
        <w:rPr>
          <w:b/>
          <w:bCs/>
          <w:color w:val="000000"/>
        </w:rPr>
      </w:pPr>
      <w:r w:rsidRPr="00AB0C89">
        <w:rPr>
          <w:b/>
          <w:bCs/>
          <w:color w:val="000000"/>
        </w:rPr>
        <w:t>Jenis dan Sumber Data</w:t>
      </w:r>
    </w:p>
    <w:p w14:paraId="1DC0C308" w14:textId="4884AE84" w:rsidR="00AB0C89" w:rsidRPr="00AB0C89" w:rsidRDefault="00AB0C89" w:rsidP="00AB0C89">
      <w:pPr>
        <w:pBdr>
          <w:top w:val="nil"/>
          <w:left w:val="nil"/>
          <w:bottom w:val="nil"/>
          <w:right w:val="nil"/>
          <w:between w:val="nil"/>
        </w:pBdr>
        <w:ind w:left="180"/>
        <w:jc w:val="both"/>
        <w:rPr>
          <w:color w:val="000000"/>
        </w:rPr>
      </w:pPr>
      <w:r w:rsidRPr="00AB0C89">
        <w:rPr>
          <w:color w:val="000000"/>
        </w:rPr>
        <w:t>Jenis data yang digunakan adalah data sekunder, yaitu data yang dikumpulkan oleh lembaga pengumpul data dan dipublikasikan kepada masyarakat pengguna data (Erlina, 2011). Data yang digunakan dalam penelitian ini berupa laporan keuangan tahunan perusahaan tambang yang diakses melalui situs www.hots.mirraeasset.co.id.</w:t>
      </w:r>
    </w:p>
    <w:p w14:paraId="1CB69ED3" w14:textId="0706D8CF" w:rsidR="00D23798" w:rsidRDefault="00AB0C89" w:rsidP="00AB0C89">
      <w:pPr>
        <w:pBdr>
          <w:top w:val="nil"/>
          <w:left w:val="nil"/>
          <w:bottom w:val="nil"/>
          <w:right w:val="nil"/>
          <w:between w:val="nil"/>
        </w:pBdr>
        <w:ind w:left="180"/>
        <w:jc w:val="both"/>
        <w:rPr>
          <w:color w:val="000000"/>
        </w:rPr>
      </w:pPr>
      <w:r w:rsidRPr="00AB0C89">
        <w:rPr>
          <w:color w:val="000000"/>
        </w:rPr>
        <w:t>Selanjutnya, analisis data akan dilakukan dengan menjalankan regresi berganda untuk mengetahui sejauh mana pengaruh Current Ratio (CR), Debt to Asset Ratio (DAR), dan Total Asset Turn Over (TATO) terhadap Net Profit Margin (NPM) pada perusahaan tambang di Bursa Efek Indonesia periode 2017-2021.</w:t>
      </w:r>
    </w:p>
    <w:p w14:paraId="7C0AE1C8" w14:textId="77777777" w:rsidR="00AB0C89" w:rsidRDefault="00AB0C89" w:rsidP="00AB0C89">
      <w:pPr>
        <w:pBdr>
          <w:top w:val="nil"/>
          <w:left w:val="nil"/>
          <w:bottom w:val="nil"/>
          <w:right w:val="nil"/>
          <w:between w:val="nil"/>
        </w:pBdr>
        <w:ind w:left="180"/>
        <w:jc w:val="both"/>
        <w:rPr>
          <w:b/>
          <w:color w:val="000000"/>
        </w:rPr>
      </w:pPr>
    </w:p>
    <w:p w14:paraId="60C2C8A6" w14:textId="77777777" w:rsidR="009A47AE" w:rsidRDefault="009A47AE" w:rsidP="00AB0C89">
      <w:pPr>
        <w:pBdr>
          <w:top w:val="nil"/>
          <w:left w:val="nil"/>
          <w:bottom w:val="nil"/>
          <w:right w:val="nil"/>
          <w:between w:val="nil"/>
        </w:pBdr>
        <w:ind w:left="180"/>
        <w:jc w:val="both"/>
        <w:rPr>
          <w:b/>
          <w:color w:val="000000"/>
        </w:rPr>
      </w:pPr>
    </w:p>
    <w:p w14:paraId="24F7C95D" w14:textId="77777777" w:rsidR="00D23798" w:rsidRDefault="00000000">
      <w:pPr>
        <w:pBdr>
          <w:top w:val="nil"/>
          <w:left w:val="nil"/>
          <w:bottom w:val="nil"/>
          <w:right w:val="nil"/>
          <w:between w:val="nil"/>
        </w:pBdr>
        <w:ind w:left="180"/>
        <w:jc w:val="both"/>
        <w:rPr>
          <w:b/>
          <w:color w:val="000000"/>
        </w:rPr>
      </w:pPr>
      <w:r>
        <w:rPr>
          <w:b/>
          <w:color w:val="000000"/>
        </w:rPr>
        <w:t xml:space="preserve">HASIL DAN PEMBAHASAN </w:t>
      </w:r>
    </w:p>
    <w:p w14:paraId="5E674BD4" w14:textId="77777777" w:rsidR="009A47AE" w:rsidRDefault="009A47AE">
      <w:pPr>
        <w:pStyle w:val="Heading1"/>
        <w:spacing w:before="0"/>
        <w:ind w:left="180" w:firstLine="0"/>
        <w:rPr>
          <w:rFonts w:ascii="Times New Roman" w:eastAsia="Times New Roman" w:hAnsi="Times New Roman" w:cs="Times New Roman"/>
        </w:rPr>
      </w:pPr>
    </w:p>
    <w:p w14:paraId="744F3E30" w14:textId="6643400F" w:rsidR="009A47AE" w:rsidRPr="009A47AE" w:rsidRDefault="009A47AE" w:rsidP="009A47AE">
      <w:pPr>
        <w:ind w:left="180"/>
        <w:jc w:val="both"/>
        <w:rPr>
          <w:b/>
          <w:bCs/>
        </w:rPr>
      </w:pPr>
      <w:r w:rsidRPr="00353167">
        <w:rPr>
          <w:b/>
          <w:bCs/>
        </w:rPr>
        <w:t>Analisis Deskriptif Statistik</w:t>
      </w:r>
    </w:p>
    <w:p w14:paraId="04493124" w14:textId="602C8BA9" w:rsidR="009A47AE" w:rsidRPr="009A47AE" w:rsidRDefault="009A47AE">
      <w:pPr>
        <w:pStyle w:val="Heading1"/>
        <w:spacing w:before="0"/>
        <w:ind w:left="180" w:firstLine="0"/>
        <w:rPr>
          <w:rFonts w:ascii="Times New Roman" w:eastAsia="Times New Roman" w:hAnsi="Times New Roman" w:cs="Times New Roman"/>
          <w:b w:val="0"/>
          <w:bCs/>
        </w:rPr>
      </w:pPr>
      <w:r w:rsidRPr="009A47AE">
        <w:rPr>
          <w:rFonts w:ascii="Times New Roman" w:eastAsia="Times New Roman" w:hAnsi="Times New Roman" w:cs="Times New Roman"/>
          <w:b w:val="0"/>
          <w:bCs/>
        </w:rPr>
        <w:t>Hasil analisis deskriptif data dengan menggunakan aplikasi SPSS versi 25 dari data penelitian diatas dapat dilihat pada tabel berikut:</w:t>
      </w:r>
    </w:p>
    <w:p w14:paraId="16AFA156" w14:textId="77777777" w:rsidR="009A47AE" w:rsidRDefault="009A47AE">
      <w:pPr>
        <w:pStyle w:val="Heading1"/>
        <w:spacing w:before="0"/>
        <w:ind w:left="180" w:firstLine="0"/>
        <w:rPr>
          <w:rFonts w:ascii="Times New Roman" w:eastAsia="Times New Roman" w:hAnsi="Times New Roman" w:cs="Times New Roman"/>
        </w:rPr>
      </w:pPr>
    </w:p>
    <w:p w14:paraId="22E22362" w14:textId="568F3775" w:rsidR="009A47AE" w:rsidRPr="009A47AE" w:rsidRDefault="009A47AE" w:rsidP="009A47AE">
      <w:pPr>
        <w:autoSpaceDE w:val="0"/>
        <w:autoSpaceDN w:val="0"/>
        <w:adjustRightInd w:val="0"/>
        <w:ind w:left="180"/>
        <w:jc w:val="center"/>
        <w:rPr>
          <w:b/>
          <w:bCs/>
        </w:rPr>
      </w:pPr>
      <w:r w:rsidRPr="009A47AE">
        <w:rPr>
          <w:b/>
          <w:bCs/>
        </w:rPr>
        <w:t>Tabel 4.</w:t>
      </w:r>
      <w:r>
        <w:rPr>
          <w:b/>
          <w:bCs/>
          <w:lang w:val="en-US"/>
        </w:rPr>
        <w:t>1.</w:t>
      </w:r>
      <w:r w:rsidRPr="009A47AE">
        <w:rPr>
          <w:b/>
          <w:bCs/>
          <w:lang w:val="en-US"/>
        </w:rPr>
        <w:t xml:space="preserve"> </w:t>
      </w:r>
      <w:r w:rsidRPr="009A47AE">
        <w:rPr>
          <w:b/>
          <w:bCs/>
        </w:rPr>
        <w:t>Analisis Deskriptif Statistik dari Data Penelitian</w:t>
      </w:r>
    </w:p>
    <w:tbl>
      <w:tblPr>
        <w:tblW w:w="74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31"/>
        <w:gridCol w:w="1041"/>
        <w:gridCol w:w="1089"/>
        <w:gridCol w:w="1120"/>
        <w:gridCol w:w="1042"/>
        <w:gridCol w:w="1466"/>
      </w:tblGrid>
      <w:tr w:rsidR="009A47AE" w:rsidRPr="009A47AE" w14:paraId="7E4F06ED" w14:textId="77777777" w:rsidTr="006A64A5">
        <w:trPr>
          <w:cantSplit/>
          <w:trHeight w:val="50"/>
        </w:trPr>
        <w:tc>
          <w:tcPr>
            <w:tcW w:w="7489" w:type="dxa"/>
            <w:gridSpan w:val="6"/>
            <w:shd w:val="clear" w:color="auto" w:fill="FFFFFF"/>
            <w:vAlign w:val="center"/>
          </w:tcPr>
          <w:p w14:paraId="58743CD8" w14:textId="77777777" w:rsidR="009A47AE" w:rsidRPr="009A47AE" w:rsidRDefault="009A47AE" w:rsidP="009A47AE">
            <w:pPr>
              <w:autoSpaceDE w:val="0"/>
              <w:autoSpaceDN w:val="0"/>
              <w:adjustRightInd w:val="0"/>
              <w:ind w:left="60" w:right="60"/>
              <w:jc w:val="center"/>
              <w:rPr>
                <w:color w:val="010205"/>
              </w:rPr>
            </w:pPr>
            <w:r w:rsidRPr="009A47AE">
              <w:rPr>
                <w:b/>
                <w:bCs/>
                <w:color w:val="010205"/>
              </w:rPr>
              <w:t>Descriptive Statistics</w:t>
            </w:r>
          </w:p>
        </w:tc>
      </w:tr>
      <w:tr w:rsidR="009A47AE" w:rsidRPr="009A47AE" w14:paraId="72D08FD7" w14:textId="77777777" w:rsidTr="006A64A5">
        <w:trPr>
          <w:cantSplit/>
          <w:trHeight w:val="50"/>
        </w:trPr>
        <w:tc>
          <w:tcPr>
            <w:tcW w:w="1731" w:type="dxa"/>
            <w:shd w:val="clear" w:color="auto" w:fill="FFFFFF"/>
            <w:vAlign w:val="bottom"/>
          </w:tcPr>
          <w:p w14:paraId="38C9B7D8" w14:textId="77777777" w:rsidR="009A47AE" w:rsidRPr="009A47AE" w:rsidRDefault="009A47AE" w:rsidP="009A47AE">
            <w:pPr>
              <w:autoSpaceDE w:val="0"/>
              <w:autoSpaceDN w:val="0"/>
              <w:adjustRightInd w:val="0"/>
            </w:pPr>
          </w:p>
        </w:tc>
        <w:tc>
          <w:tcPr>
            <w:tcW w:w="1041" w:type="dxa"/>
            <w:shd w:val="clear" w:color="auto" w:fill="FFFFFF"/>
            <w:vAlign w:val="bottom"/>
          </w:tcPr>
          <w:p w14:paraId="2D9EBC27" w14:textId="77777777" w:rsidR="009A47AE" w:rsidRPr="009A47AE" w:rsidRDefault="009A47AE" w:rsidP="009A47AE">
            <w:pPr>
              <w:autoSpaceDE w:val="0"/>
              <w:autoSpaceDN w:val="0"/>
              <w:adjustRightInd w:val="0"/>
              <w:ind w:left="60" w:right="60"/>
              <w:jc w:val="center"/>
              <w:rPr>
                <w:color w:val="264A60"/>
                <w:sz w:val="18"/>
                <w:szCs w:val="18"/>
              </w:rPr>
            </w:pPr>
            <w:r w:rsidRPr="009A47AE">
              <w:rPr>
                <w:color w:val="264A60"/>
                <w:sz w:val="18"/>
                <w:szCs w:val="18"/>
              </w:rPr>
              <w:t>N</w:t>
            </w:r>
          </w:p>
        </w:tc>
        <w:tc>
          <w:tcPr>
            <w:tcW w:w="1089" w:type="dxa"/>
            <w:shd w:val="clear" w:color="auto" w:fill="FFFFFF"/>
            <w:vAlign w:val="bottom"/>
          </w:tcPr>
          <w:p w14:paraId="3DA4E01C" w14:textId="77777777" w:rsidR="009A47AE" w:rsidRPr="009A47AE" w:rsidRDefault="009A47AE" w:rsidP="009A47AE">
            <w:pPr>
              <w:autoSpaceDE w:val="0"/>
              <w:autoSpaceDN w:val="0"/>
              <w:adjustRightInd w:val="0"/>
              <w:ind w:left="60" w:right="60"/>
              <w:jc w:val="center"/>
              <w:rPr>
                <w:color w:val="264A60"/>
                <w:sz w:val="18"/>
                <w:szCs w:val="18"/>
              </w:rPr>
            </w:pPr>
            <w:r w:rsidRPr="009A47AE">
              <w:rPr>
                <w:color w:val="264A60"/>
                <w:sz w:val="18"/>
                <w:szCs w:val="18"/>
              </w:rPr>
              <w:t>Minimum</w:t>
            </w:r>
          </w:p>
        </w:tc>
        <w:tc>
          <w:tcPr>
            <w:tcW w:w="1120" w:type="dxa"/>
            <w:shd w:val="clear" w:color="auto" w:fill="FFFFFF"/>
            <w:vAlign w:val="bottom"/>
          </w:tcPr>
          <w:p w14:paraId="793677FF" w14:textId="77777777" w:rsidR="009A47AE" w:rsidRPr="009A47AE" w:rsidRDefault="009A47AE" w:rsidP="009A47AE">
            <w:pPr>
              <w:autoSpaceDE w:val="0"/>
              <w:autoSpaceDN w:val="0"/>
              <w:adjustRightInd w:val="0"/>
              <w:ind w:left="60" w:right="60"/>
              <w:jc w:val="center"/>
              <w:rPr>
                <w:color w:val="264A60"/>
                <w:sz w:val="18"/>
                <w:szCs w:val="18"/>
              </w:rPr>
            </w:pPr>
            <w:r w:rsidRPr="009A47AE">
              <w:rPr>
                <w:color w:val="264A60"/>
                <w:sz w:val="18"/>
                <w:szCs w:val="18"/>
              </w:rPr>
              <w:t>Maximum</w:t>
            </w:r>
          </w:p>
        </w:tc>
        <w:tc>
          <w:tcPr>
            <w:tcW w:w="1042" w:type="dxa"/>
            <w:shd w:val="clear" w:color="auto" w:fill="FFFFFF"/>
            <w:vAlign w:val="bottom"/>
          </w:tcPr>
          <w:p w14:paraId="39A66C12" w14:textId="77777777" w:rsidR="009A47AE" w:rsidRPr="009A47AE" w:rsidRDefault="009A47AE" w:rsidP="009A47AE">
            <w:pPr>
              <w:autoSpaceDE w:val="0"/>
              <w:autoSpaceDN w:val="0"/>
              <w:adjustRightInd w:val="0"/>
              <w:ind w:left="60" w:right="60"/>
              <w:jc w:val="center"/>
              <w:rPr>
                <w:color w:val="264A60"/>
                <w:sz w:val="18"/>
                <w:szCs w:val="18"/>
              </w:rPr>
            </w:pPr>
            <w:r w:rsidRPr="009A47AE">
              <w:rPr>
                <w:color w:val="264A60"/>
                <w:sz w:val="18"/>
                <w:szCs w:val="18"/>
              </w:rPr>
              <w:t>Mean</w:t>
            </w:r>
          </w:p>
        </w:tc>
        <w:tc>
          <w:tcPr>
            <w:tcW w:w="1466" w:type="dxa"/>
            <w:shd w:val="clear" w:color="auto" w:fill="FFFFFF"/>
            <w:vAlign w:val="bottom"/>
          </w:tcPr>
          <w:p w14:paraId="408CC0E3" w14:textId="77777777" w:rsidR="009A47AE" w:rsidRPr="009A47AE" w:rsidRDefault="009A47AE" w:rsidP="009A47AE">
            <w:pPr>
              <w:autoSpaceDE w:val="0"/>
              <w:autoSpaceDN w:val="0"/>
              <w:adjustRightInd w:val="0"/>
              <w:ind w:left="60" w:right="60"/>
              <w:jc w:val="center"/>
              <w:rPr>
                <w:color w:val="264A60"/>
                <w:sz w:val="18"/>
                <w:szCs w:val="18"/>
              </w:rPr>
            </w:pPr>
            <w:r w:rsidRPr="009A47AE">
              <w:rPr>
                <w:color w:val="264A60"/>
                <w:sz w:val="18"/>
                <w:szCs w:val="18"/>
              </w:rPr>
              <w:t>Std. Deviation</w:t>
            </w:r>
          </w:p>
        </w:tc>
      </w:tr>
      <w:tr w:rsidR="009A47AE" w:rsidRPr="009A47AE" w14:paraId="7C81E04A" w14:textId="77777777" w:rsidTr="006A64A5">
        <w:trPr>
          <w:cantSplit/>
          <w:trHeight w:val="50"/>
        </w:trPr>
        <w:tc>
          <w:tcPr>
            <w:tcW w:w="1731" w:type="dxa"/>
            <w:shd w:val="clear" w:color="auto" w:fill="E0E0E0"/>
          </w:tcPr>
          <w:p w14:paraId="462B20F8" w14:textId="77777777" w:rsidR="009A47AE" w:rsidRPr="009A47AE" w:rsidRDefault="009A47AE" w:rsidP="009A47AE">
            <w:pPr>
              <w:autoSpaceDE w:val="0"/>
              <w:autoSpaceDN w:val="0"/>
              <w:adjustRightInd w:val="0"/>
              <w:ind w:left="60" w:right="60"/>
              <w:rPr>
                <w:color w:val="264A60"/>
                <w:sz w:val="18"/>
                <w:szCs w:val="18"/>
              </w:rPr>
            </w:pPr>
            <w:r w:rsidRPr="009A47AE">
              <w:rPr>
                <w:color w:val="264A60"/>
                <w:sz w:val="18"/>
                <w:szCs w:val="18"/>
              </w:rPr>
              <w:t>CR</w:t>
            </w:r>
          </w:p>
        </w:tc>
        <w:tc>
          <w:tcPr>
            <w:tcW w:w="1041" w:type="dxa"/>
            <w:shd w:val="clear" w:color="auto" w:fill="FFFFFF"/>
          </w:tcPr>
          <w:p w14:paraId="7F9C994A"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155</w:t>
            </w:r>
          </w:p>
        </w:tc>
        <w:tc>
          <w:tcPr>
            <w:tcW w:w="1089" w:type="dxa"/>
            <w:shd w:val="clear" w:color="auto" w:fill="FFFFFF"/>
          </w:tcPr>
          <w:p w14:paraId="35B1ABDC"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.14</w:t>
            </w:r>
          </w:p>
        </w:tc>
        <w:tc>
          <w:tcPr>
            <w:tcW w:w="1120" w:type="dxa"/>
            <w:shd w:val="clear" w:color="auto" w:fill="FFFFFF"/>
          </w:tcPr>
          <w:p w14:paraId="7C1AFA0C"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146.13</w:t>
            </w:r>
          </w:p>
        </w:tc>
        <w:tc>
          <w:tcPr>
            <w:tcW w:w="1042" w:type="dxa"/>
            <w:shd w:val="clear" w:color="auto" w:fill="FFFFFF"/>
          </w:tcPr>
          <w:p w14:paraId="31F7AA7A"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3.6855</w:t>
            </w:r>
          </w:p>
        </w:tc>
        <w:tc>
          <w:tcPr>
            <w:tcW w:w="1466" w:type="dxa"/>
            <w:shd w:val="clear" w:color="auto" w:fill="FFFFFF"/>
          </w:tcPr>
          <w:p w14:paraId="0553D793"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14.62255</w:t>
            </w:r>
          </w:p>
        </w:tc>
      </w:tr>
      <w:tr w:rsidR="009A47AE" w:rsidRPr="009A47AE" w14:paraId="25004F15" w14:textId="77777777" w:rsidTr="006A64A5">
        <w:trPr>
          <w:cantSplit/>
          <w:trHeight w:val="50"/>
        </w:trPr>
        <w:tc>
          <w:tcPr>
            <w:tcW w:w="1731" w:type="dxa"/>
            <w:shd w:val="clear" w:color="auto" w:fill="E0E0E0"/>
          </w:tcPr>
          <w:p w14:paraId="1D867870" w14:textId="77777777" w:rsidR="009A47AE" w:rsidRPr="009A47AE" w:rsidRDefault="009A47AE" w:rsidP="009A47AE">
            <w:pPr>
              <w:autoSpaceDE w:val="0"/>
              <w:autoSpaceDN w:val="0"/>
              <w:adjustRightInd w:val="0"/>
              <w:ind w:left="60" w:right="60"/>
              <w:rPr>
                <w:color w:val="264A60"/>
                <w:sz w:val="18"/>
                <w:szCs w:val="18"/>
              </w:rPr>
            </w:pPr>
            <w:r w:rsidRPr="009A47AE">
              <w:rPr>
                <w:color w:val="264A60"/>
                <w:sz w:val="18"/>
                <w:szCs w:val="18"/>
              </w:rPr>
              <w:t>DAR</w:t>
            </w:r>
          </w:p>
        </w:tc>
        <w:tc>
          <w:tcPr>
            <w:tcW w:w="1041" w:type="dxa"/>
            <w:shd w:val="clear" w:color="auto" w:fill="FFFFFF"/>
          </w:tcPr>
          <w:p w14:paraId="4AC71669"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155</w:t>
            </w:r>
          </w:p>
        </w:tc>
        <w:tc>
          <w:tcPr>
            <w:tcW w:w="1089" w:type="dxa"/>
            <w:shd w:val="clear" w:color="auto" w:fill="FFFFFF"/>
          </w:tcPr>
          <w:p w14:paraId="52B39D0D"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.09</w:t>
            </w:r>
          </w:p>
        </w:tc>
        <w:tc>
          <w:tcPr>
            <w:tcW w:w="1120" w:type="dxa"/>
            <w:shd w:val="clear" w:color="auto" w:fill="FFFFFF"/>
          </w:tcPr>
          <w:p w14:paraId="4F9CCC92"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.97</w:t>
            </w:r>
          </w:p>
        </w:tc>
        <w:tc>
          <w:tcPr>
            <w:tcW w:w="1042" w:type="dxa"/>
            <w:shd w:val="clear" w:color="auto" w:fill="FFFFFF"/>
          </w:tcPr>
          <w:p w14:paraId="4D60D681"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.4711</w:t>
            </w:r>
          </w:p>
        </w:tc>
        <w:tc>
          <w:tcPr>
            <w:tcW w:w="1466" w:type="dxa"/>
            <w:shd w:val="clear" w:color="auto" w:fill="FFFFFF"/>
          </w:tcPr>
          <w:p w14:paraId="1711E80F"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.20570</w:t>
            </w:r>
          </w:p>
        </w:tc>
      </w:tr>
      <w:tr w:rsidR="009A47AE" w:rsidRPr="009A47AE" w14:paraId="401FBA08" w14:textId="77777777" w:rsidTr="006A64A5">
        <w:trPr>
          <w:cantSplit/>
          <w:trHeight w:val="50"/>
        </w:trPr>
        <w:tc>
          <w:tcPr>
            <w:tcW w:w="1731" w:type="dxa"/>
            <w:shd w:val="clear" w:color="auto" w:fill="E0E0E0"/>
          </w:tcPr>
          <w:p w14:paraId="17E6A4FC" w14:textId="77777777" w:rsidR="009A47AE" w:rsidRPr="009A47AE" w:rsidRDefault="009A47AE" w:rsidP="009A47AE">
            <w:pPr>
              <w:autoSpaceDE w:val="0"/>
              <w:autoSpaceDN w:val="0"/>
              <w:adjustRightInd w:val="0"/>
              <w:ind w:left="60" w:right="60"/>
              <w:rPr>
                <w:color w:val="264A60"/>
                <w:sz w:val="18"/>
                <w:szCs w:val="18"/>
              </w:rPr>
            </w:pPr>
            <w:r w:rsidRPr="009A47AE">
              <w:rPr>
                <w:color w:val="264A60"/>
                <w:sz w:val="18"/>
                <w:szCs w:val="18"/>
              </w:rPr>
              <w:t>TATO</w:t>
            </w:r>
          </w:p>
        </w:tc>
        <w:tc>
          <w:tcPr>
            <w:tcW w:w="1041" w:type="dxa"/>
            <w:shd w:val="clear" w:color="auto" w:fill="FFFFFF"/>
          </w:tcPr>
          <w:p w14:paraId="06540E8C"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155</w:t>
            </w:r>
          </w:p>
        </w:tc>
        <w:tc>
          <w:tcPr>
            <w:tcW w:w="1089" w:type="dxa"/>
            <w:shd w:val="clear" w:color="auto" w:fill="FFFFFF"/>
          </w:tcPr>
          <w:p w14:paraId="61BED0C5"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.01</w:t>
            </w:r>
          </w:p>
        </w:tc>
        <w:tc>
          <w:tcPr>
            <w:tcW w:w="1120" w:type="dxa"/>
            <w:shd w:val="clear" w:color="auto" w:fill="FFFFFF"/>
          </w:tcPr>
          <w:p w14:paraId="705C1371"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2.25</w:t>
            </w:r>
          </w:p>
        </w:tc>
        <w:tc>
          <w:tcPr>
            <w:tcW w:w="1042" w:type="dxa"/>
            <w:shd w:val="clear" w:color="auto" w:fill="FFFFFF"/>
          </w:tcPr>
          <w:p w14:paraId="1762DC40"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.7173</w:t>
            </w:r>
          </w:p>
        </w:tc>
        <w:tc>
          <w:tcPr>
            <w:tcW w:w="1466" w:type="dxa"/>
            <w:shd w:val="clear" w:color="auto" w:fill="FFFFFF"/>
          </w:tcPr>
          <w:p w14:paraId="46A84304"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.49747</w:t>
            </w:r>
          </w:p>
        </w:tc>
      </w:tr>
      <w:tr w:rsidR="009A47AE" w:rsidRPr="009A47AE" w14:paraId="742F563E" w14:textId="77777777" w:rsidTr="006A64A5">
        <w:trPr>
          <w:cantSplit/>
          <w:trHeight w:val="50"/>
        </w:trPr>
        <w:tc>
          <w:tcPr>
            <w:tcW w:w="1731" w:type="dxa"/>
            <w:shd w:val="clear" w:color="auto" w:fill="E0E0E0"/>
          </w:tcPr>
          <w:p w14:paraId="1C30ACFC" w14:textId="77777777" w:rsidR="009A47AE" w:rsidRPr="009A47AE" w:rsidRDefault="009A47AE" w:rsidP="009A47AE">
            <w:pPr>
              <w:autoSpaceDE w:val="0"/>
              <w:autoSpaceDN w:val="0"/>
              <w:adjustRightInd w:val="0"/>
              <w:ind w:left="60" w:right="60"/>
              <w:rPr>
                <w:color w:val="264A60"/>
                <w:sz w:val="18"/>
                <w:szCs w:val="18"/>
              </w:rPr>
            </w:pPr>
            <w:r w:rsidRPr="009A47AE">
              <w:rPr>
                <w:color w:val="264A60"/>
                <w:sz w:val="18"/>
                <w:szCs w:val="18"/>
              </w:rPr>
              <w:t>NPM</w:t>
            </w:r>
          </w:p>
        </w:tc>
        <w:tc>
          <w:tcPr>
            <w:tcW w:w="1041" w:type="dxa"/>
            <w:shd w:val="clear" w:color="auto" w:fill="FFFFFF"/>
          </w:tcPr>
          <w:p w14:paraId="1268FE7D"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155</w:t>
            </w:r>
          </w:p>
        </w:tc>
        <w:tc>
          <w:tcPr>
            <w:tcW w:w="1089" w:type="dxa"/>
            <w:shd w:val="clear" w:color="auto" w:fill="FFFFFF"/>
          </w:tcPr>
          <w:p w14:paraId="60F7CB10"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-87.51</w:t>
            </w:r>
          </w:p>
        </w:tc>
        <w:tc>
          <w:tcPr>
            <w:tcW w:w="1120" w:type="dxa"/>
            <w:shd w:val="clear" w:color="auto" w:fill="FFFFFF"/>
          </w:tcPr>
          <w:p w14:paraId="1D3613DC"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13.98</w:t>
            </w:r>
          </w:p>
        </w:tc>
        <w:tc>
          <w:tcPr>
            <w:tcW w:w="1042" w:type="dxa"/>
            <w:shd w:val="clear" w:color="auto" w:fill="FFFFFF"/>
          </w:tcPr>
          <w:p w14:paraId="3EA499BE"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-.6351</w:t>
            </w:r>
          </w:p>
        </w:tc>
        <w:tc>
          <w:tcPr>
            <w:tcW w:w="1466" w:type="dxa"/>
            <w:shd w:val="clear" w:color="auto" w:fill="FFFFFF"/>
          </w:tcPr>
          <w:p w14:paraId="4BAAD80D"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8.23319</w:t>
            </w:r>
          </w:p>
        </w:tc>
      </w:tr>
      <w:tr w:rsidR="009A47AE" w:rsidRPr="009A47AE" w14:paraId="13392CE3" w14:textId="77777777" w:rsidTr="006A64A5">
        <w:trPr>
          <w:cantSplit/>
          <w:trHeight w:val="50"/>
        </w:trPr>
        <w:tc>
          <w:tcPr>
            <w:tcW w:w="1731" w:type="dxa"/>
            <w:shd w:val="clear" w:color="auto" w:fill="E0E0E0"/>
          </w:tcPr>
          <w:p w14:paraId="570C7B76" w14:textId="77777777" w:rsidR="009A47AE" w:rsidRPr="009A47AE" w:rsidRDefault="009A47AE" w:rsidP="009A47AE">
            <w:pPr>
              <w:autoSpaceDE w:val="0"/>
              <w:autoSpaceDN w:val="0"/>
              <w:adjustRightInd w:val="0"/>
              <w:ind w:left="60" w:right="60"/>
              <w:rPr>
                <w:color w:val="264A60"/>
                <w:sz w:val="18"/>
                <w:szCs w:val="18"/>
              </w:rPr>
            </w:pPr>
            <w:r w:rsidRPr="009A47AE">
              <w:rPr>
                <w:color w:val="264A60"/>
                <w:sz w:val="18"/>
                <w:szCs w:val="18"/>
              </w:rPr>
              <w:lastRenderedPageBreak/>
              <w:t>Valid N (listwise)</w:t>
            </w:r>
          </w:p>
        </w:tc>
        <w:tc>
          <w:tcPr>
            <w:tcW w:w="1041" w:type="dxa"/>
            <w:shd w:val="clear" w:color="auto" w:fill="FFFFFF"/>
          </w:tcPr>
          <w:p w14:paraId="14E95049" w14:textId="77777777" w:rsidR="009A47AE" w:rsidRPr="009A47AE" w:rsidRDefault="009A47AE" w:rsidP="009A47AE">
            <w:pPr>
              <w:autoSpaceDE w:val="0"/>
              <w:autoSpaceDN w:val="0"/>
              <w:adjustRightInd w:val="0"/>
              <w:ind w:left="60" w:right="60"/>
              <w:jc w:val="right"/>
              <w:rPr>
                <w:color w:val="010205"/>
                <w:sz w:val="18"/>
                <w:szCs w:val="18"/>
              </w:rPr>
            </w:pPr>
            <w:r w:rsidRPr="009A47AE">
              <w:rPr>
                <w:color w:val="010205"/>
                <w:sz w:val="18"/>
                <w:szCs w:val="18"/>
              </w:rPr>
              <w:t>155</w:t>
            </w:r>
          </w:p>
        </w:tc>
        <w:tc>
          <w:tcPr>
            <w:tcW w:w="1089" w:type="dxa"/>
            <w:shd w:val="clear" w:color="auto" w:fill="FFFFFF"/>
            <w:vAlign w:val="center"/>
          </w:tcPr>
          <w:p w14:paraId="55B9C202" w14:textId="77777777" w:rsidR="009A47AE" w:rsidRPr="009A47AE" w:rsidRDefault="009A47AE" w:rsidP="009A47AE">
            <w:pPr>
              <w:autoSpaceDE w:val="0"/>
              <w:autoSpaceDN w:val="0"/>
              <w:adjustRightInd w:val="0"/>
            </w:pPr>
          </w:p>
        </w:tc>
        <w:tc>
          <w:tcPr>
            <w:tcW w:w="1120" w:type="dxa"/>
            <w:shd w:val="clear" w:color="auto" w:fill="FFFFFF"/>
            <w:vAlign w:val="center"/>
          </w:tcPr>
          <w:p w14:paraId="52549720" w14:textId="77777777" w:rsidR="009A47AE" w:rsidRPr="009A47AE" w:rsidRDefault="009A47AE" w:rsidP="009A47AE">
            <w:pPr>
              <w:autoSpaceDE w:val="0"/>
              <w:autoSpaceDN w:val="0"/>
              <w:adjustRightInd w:val="0"/>
            </w:pPr>
          </w:p>
        </w:tc>
        <w:tc>
          <w:tcPr>
            <w:tcW w:w="1042" w:type="dxa"/>
            <w:shd w:val="clear" w:color="auto" w:fill="FFFFFF"/>
            <w:vAlign w:val="center"/>
          </w:tcPr>
          <w:p w14:paraId="12367CA5" w14:textId="77777777" w:rsidR="009A47AE" w:rsidRPr="009A47AE" w:rsidRDefault="009A47AE" w:rsidP="009A47AE">
            <w:pPr>
              <w:autoSpaceDE w:val="0"/>
              <w:autoSpaceDN w:val="0"/>
              <w:adjustRightInd w:val="0"/>
            </w:pPr>
          </w:p>
        </w:tc>
        <w:tc>
          <w:tcPr>
            <w:tcW w:w="1466" w:type="dxa"/>
            <w:shd w:val="clear" w:color="auto" w:fill="FFFFFF"/>
            <w:vAlign w:val="center"/>
          </w:tcPr>
          <w:p w14:paraId="4F588D7F" w14:textId="77777777" w:rsidR="009A47AE" w:rsidRPr="009A47AE" w:rsidRDefault="009A47AE" w:rsidP="009A47AE">
            <w:pPr>
              <w:autoSpaceDE w:val="0"/>
              <w:autoSpaceDN w:val="0"/>
              <w:adjustRightInd w:val="0"/>
            </w:pPr>
          </w:p>
        </w:tc>
      </w:tr>
    </w:tbl>
    <w:p w14:paraId="137BBB96" w14:textId="36771FB5" w:rsidR="009A47AE" w:rsidRPr="009A47AE" w:rsidRDefault="009A47AE" w:rsidP="009A47AE">
      <w:pPr>
        <w:autoSpaceDE w:val="0"/>
        <w:autoSpaceDN w:val="0"/>
        <w:adjustRightInd w:val="0"/>
        <w:ind w:left="993"/>
        <w:rPr>
          <w:i/>
          <w:iCs/>
        </w:rPr>
      </w:pPr>
      <w:r w:rsidRPr="009A47AE">
        <w:rPr>
          <w:i/>
          <w:iCs/>
        </w:rPr>
        <w:t>Sumber: Hasil Pengolahan Data dengan SPSS Ver. 25 (202</w:t>
      </w:r>
      <w:r>
        <w:rPr>
          <w:i/>
          <w:iCs/>
          <w:lang w:val="en-US"/>
        </w:rPr>
        <w:t>3</w:t>
      </w:r>
      <w:r w:rsidRPr="009A47AE">
        <w:rPr>
          <w:i/>
          <w:iCs/>
        </w:rPr>
        <w:t>)</w:t>
      </w:r>
    </w:p>
    <w:p w14:paraId="7C2E410A" w14:textId="54ECBEA6" w:rsidR="006A64A5" w:rsidRPr="006A64A5" w:rsidRDefault="006A64A5" w:rsidP="006A64A5">
      <w:pPr>
        <w:pStyle w:val="Heading1"/>
        <w:ind w:left="180" w:firstLine="0"/>
        <w:rPr>
          <w:rFonts w:ascii="Times New Roman" w:eastAsia="Times New Roman" w:hAnsi="Times New Roman" w:cs="Times New Roman"/>
          <w:b w:val="0"/>
          <w:bCs/>
        </w:rPr>
      </w:pPr>
      <w:r w:rsidRPr="006A64A5">
        <w:rPr>
          <w:rFonts w:ascii="Times New Roman" w:eastAsia="Times New Roman" w:hAnsi="Times New Roman" w:cs="Times New Roman"/>
          <w:b w:val="0"/>
          <w:bCs/>
        </w:rPr>
        <w:t>Pada tabel 4.1 diatas, diketahui bahwa terdapat 155 buah sampel yang telah berhasil diuji validitasnya. Setiap data diuji dan memenuhi kriteria validitas yang ditetapkan.</w:t>
      </w:r>
      <w:r>
        <w:rPr>
          <w:rFonts w:ascii="Times New Roman" w:eastAsia="Times New Roman" w:hAnsi="Times New Roman" w:cs="Times New Roman"/>
          <w:b w:val="0"/>
          <w:bCs/>
          <w:lang w:val="en-US"/>
        </w:rPr>
        <w:t xml:space="preserve"> </w:t>
      </w:r>
      <w:r w:rsidRPr="006A64A5">
        <w:rPr>
          <w:rFonts w:ascii="Times New Roman" w:eastAsia="Times New Roman" w:hAnsi="Times New Roman" w:cs="Times New Roman"/>
          <w:b w:val="0"/>
          <w:bCs/>
        </w:rPr>
        <w:t>Variabel Current Ratio menunjukkan nilai maksimal sebesar 146.13, yang tercatat pada perusahaan Perdana Karya Perkasa, Tbk pada tahun 2019. Sebaliknya, nilai minimum Current Ratio adalah 0.14, dimiliki oleh perusahaan Astrindo Nusantara Infrastruktur, Tbk pada tahun 2017. Dari seluruh data, rata-rata Current Ratio adalah 3.6855 dengan standar deviasi 14.62255.Sementara itu, variabel Debt to Asset Ratio</w:t>
      </w:r>
      <w:r>
        <w:rPr>
          <w:rFonts w:ascii="Times New Roman" w:eastAsia="Times New Roman" w:hAnsi="Times New Roman" w:cs="Times New Roman"/>
          <w:b w:val="0"/>
          <w:bCs/>
          <w:lang w:val="en-US"/>
        </w:rPr>
        <w:t xml:space="preserve"> </w:t>
      </w:r>
      <w:r w:rsidRPr="006A64A5">
        <w:rPr>
          <w:rFonts w:ascii="Times New Roman" w:eastAsia="Times New Roman" w:hAnsi="Times New Roman" w:cs="Times New Roman"/>
          <w:b w:val="0"/>
          <w:bCs/>
        </w:rPr>
        <w:t>menunjukkan nilai maksimal sebesar 0.97, tercatat pada perusahaan Atlas Resources, Tbk pada tahun 2018. Sedangkan nilai minimum Debt to Asset Ratio adalah 0.09, dimiliki oleh perusahaan Harum Energy, Tbk pada tahun 2020. Rata-rata Debt to Asset Ratio adalah 0.4711 dengan standar deviasi sebesar 0.20570.Variabel Total Asset Turn Over</w:t>
      </w:r>
      <w:r>
        <w:rPr>
          <w:rFonts w:ascii="Times New Roman" w:eastAsia="Times New Roman" w:hAnsi="Times New Roman" w:cs="Times New Roman"/>
          <w:b w:val="0"/>
          <w:bCs/>
          <w:lang w:val="en-US"/>
        </w:rPr>
        <w:t xml:space="preserve"> </w:t>
      </w:r>
      <w:r w:rsidRPr="006A64A5">
        <w:rPr>
          <w:rFonts w:ascii="Times New Roman" w:eastAsia="Times New Roman" w:hAnsi="Times New Roman" w:cs="Times New Roman"/>
          <w:b w:val="0"/>
          <w:bCs/>
        </w:rPr>
        <w:t>memiliki nilai maksimal sebesar 2.25, dicapai oleh perusahaan Alfa Energy Investama, Tbk pada tahun 2019. Sebaliknya, nilai minimum Total Asset Turn Over adalah 0.01, tercatat pada perusahaan Bumi Resources Minerals, Tbk dari tahun 2019 hingga 2021. Rata-rata Total Asset Turn Over adalah 0.7173 dengan standar deviasi sebesar 0.49747.</w:t>
      </w:r>
    </w:p>
    <w:p w14:paraId="5131A9E1" w14:textId="211EFDC3" w:rsidR="009A47AE" w:rsidRDefault="006A64A5" w:rsidP="006A64A5">
      <w:pPr>
        <w:pStyle w:val="Heading1"/>
        <w:spacing w:before="0"/>
        <w:ind w:left="180" w:firstLine="0"/>
        <w:rPr>
          <w:rFonts w:ascii="Times New Roman" w:eastAsia="Times New Roman" w:hAnsi="Times New Roman" w:cs="Times New Roman"/>
          <w:b w:val="0"/>
          <w:bCs/>
        </w:rPr>
      </w:pPr>
      <w:r w:rsidRPr="006A64A5">
        <w:rPr>
          <w:rFonts w:ascii="Times New Roman" w:eastAsia="Times New Roman" w:hAnsi="Times New Roman" w:cs="Times New Roman"/>
          <w:b w:val="0"/>
          <w:bCs/>
        </w:rPr>
        <w:t>Selanjutnya, variabel Net Profit Margin</w:t>
      </w:r>
      <w:r>
        <w:rPr>
          <w:rFonts w:ascii="Times New Roman" w:eastAsia="Times New Roman" w:hAnsi="Times New Roman" w:cs="Times New Roman"/>
          <w:b w:val="0"/>
          <w:bCs/>
          <w:lang w:val="en-US"/>
        </w:rPr>
        <w:t xml:space="preserve"> </w:t>
      </w:r>
      <w:r w:rsidRPr="006A64A5">
        <w:rPr>
          <w:rFonts w:ascii="Times New Roman" w:eastAsia="Times New Roman" w:hAnsi="Times New Roman" w:cs="Times New Roman"/>
          <w:b w:val="0"/>
          <w:bCs/>
        </w:rPr>
        <w:t>menunjukkan nilai maksimal sebesar 13.98, yang tercatat pada perusahaan Bumi Resource, Tbk pada tahun 2017. Namun, nilai minimum Net Profit Margin adalah -87.51, dimiliki oleh perusahaan Bumi Resources Minerals, Tbk pada tahun 2018. Rata-rata Net Profit Margin adalah -0.6351 dengan standar deviasi sebesar 8.23319.</w:t>
      </w:r>
    </w:p>
    <w:p w14:paraId="6F8E0AE7" w14:textId="77777777" w:rsidR="006A64A5" w:rsidRDefault="006A64A5" w:rsidP="006A64A5"/>
    <w:p w14:paraId="6400E7B8" w14:textId="77C1B135" w:rsidR="006A64A5" w:rsidRPr="006A64A5" w:rsidRDefault="006A64A5" w:rsidP="006A64A5">
      <w:pPr>
        <w:ind w:left="180"/>
        <w:rPr>
          <w:b/>
          <w:bCs/>
          <w:lang w:val="en-US"/>
        </w:rPr>
      </w:pPr>
      <w:r w:rsidRPr="006A64A5">
        <w:rPr>
          <w:b/>
          <w:bCs/>
          <w:lang w:val="en-US"/>
        </w:rPr>
        <w:t>Uji Normalitas</w:t>
      </w:r>
    </w:p>
    <w:p w14:paraId="277CCD0E" w14:textId="16CFB470" w:rsidR="006A64A5" w:rsidRDefault="006A64A5" w:rsidP="006A64A5">
      <w:pPr>
        <w:ind w:left="180"/>
      </w:pPr>
      <w:r>
        <w:rPr>
          <w:lang w:val="en-US"/>
        </w:rPr>
        <w:t>Adapun h</w:t>
      </w:r>
      <w:r w:rsidRPr="006A64A5">
        <w:t>asil uji normalitas data dengan Uji Kolmogorov – Smirnov menggunakan aplikasi SPSS versi 25 dapat dilihat pada tabel berikut:</w:t>
      </w:r>
    </w:p>
    <w:p w14:paraId="2CBEF8C4" w14:textId="77777777" w:rsidR="006A64A5" w:rsidRDefault="006A64A5" w:rsidP="006A64A5">
      <w:pPr>
        <w:ind w:left="180"/>
      </w:pPr>
    </w:p>
    <w:p w14:paraId="24C9E79A" w14:textId="6EF593ED" w:rsidR="006A64A5" w:rsidRPr="006A64A5" w:rsidRDefault="006A64A5" w:rsidP="006A64A5">
      <w:pPr>
        <w:spacing w:line="480" w:lineRule="auto"/>
        <w:ind w:left="180"/>
        <w:jc w:val="center"/>
        <w:rPr>
          <w:b/>
          <w:bCs/>
          <w:lang w:val="en-US"/>
        </w:rPr>
      </w:pPr>
      <w:r w:rsidRPr="006A64A5">
        <w:rPr>
          <w:b/>
          <w:bCs/>
          <w:lang w:val="en-US"/>
        </w:rPr>
        <w:t>Tabel 4.</w:t>
      </w:r>
      <w:r w:rsidRPr="006A64A5">
        <w:rPr>
          <w:b/>
          <w:bCs/>
          <w:lang w:val="en-US"/>
        </w:rPr>
        <w:t xml:space="preserve">2. </w:t>
      </w:r>
      <w:r w:rsidRPr="006A64A5">
        <w:rPr>
          <w:b/>
          <w:bCs/>
          <w:lang w:val="en-US"/>
        </w:rPr>
        <w:t>Normalitas Data dengan Uji Kolmogorov – Smirnov</w:t>
      </w:r>
    </w:p>
    <w:tbl>
      <w:tblPr>
        <w:tblW w:w="6594"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4"/>
        <w:gridCol w:w="1776"/>
        <w:gridCol w:w="1814"/>
      </w:tblGrid>
      <w:tr w:rsidR="006D0608" w:rsidRPr="006D0608" w14:paraId="1AEAE84D" w14:textId="77777777" w:rsidTr="005B345A">
        <w:trPr>
          <w:cantSplit/>
          <w:trHeight w:val="305"/>
        </w:trPr>
        <w:tc>
          <w:tcPr>
            <w:tcW w:w="6594" w:type="dxa"/>
            <w:gridSpan w:val="3"/>
            <w:shd w:val="clear" w:color="auto" w:fill="FFFFFF"/>
            <w:vAlign w:val="center"/>
          </w:tcPr>
          <w:p w14:paraId="1AE33EBF" w14:textId="77777777" w:rsidR="006D0608" w:rsidRPr="006D0608" w:rsidRDefault="006D0608" w:rsidP="005B345A">
            <w:pPr>
              <w:autoSpaceDE w:val="0"/>
              <w:autoSpaceDN w:val="0"/>
              <w:adjustRightInd w:val="0"/>
              <w:spacing w:line="320" w:lineRule="atLeast"/>
              <w:ind w:left="60" w:right="60"/>
              <w:jc w:val="center"/>
              <w:rPr>
                <w:color w:val="010205"/>
              </w:rPr>
            </w:pPr>
            <w:r w:rsidRPr="006D0608">
              <w:rPr>
                <w:b/>
                <w:bCs/>
                <w:color w:val="010205"/>
              </w:rPr>
              <w:t>One-Sample Kolmogorov-Smirnov Test</w:t>
            </w:r>
          </w:p>
        </w:tc>
      </w:tr>
      <w:tr w:rsidR="006D0608" w:rsidRPr="006D0608" w14:paraId="17BFA9B0" w14:textId="77777777" w:rsidTr="005B345A">
        <w:trPr>
          <w:cantSplit/>
          <w:trHeight w:val="625"/>
        </w:trPr>
        <w:tc>
          <w:tcPr>
            <w:tcW w:w="4780" w:type="dxa"/>
            <w:gridSpan w:val="2"/>
            <w:shd w:val="clear" w:color="auto" w:fill="FFFFFF"/>
            <w:vAlign w:val="bottom"/>
          </w:tcPr>
          <w:p w14:paraId="40DE8D51" w14:textId="77777777" w:rsidR="006D0608" w:rsidRPr="006D0608" w:rsidRDefault="006D0608" w:rsidP="005B345A">
            <w:pPr>
              <w:autoSpaceDE w:val="0"/>
              <w:autoSpaceDN w:val="0"/>
              <w:adjustRightInd w:val="0"/>
            </w:pPr>
          </w:p>
        </w:tc>
        <w:tc>
          <w:tcPr>
            <w:tcW w:w="1814" w:type="dxa"/>
            <w:shd w:val="clear" w:color="auto" w:fill="FFFFFF"/>
            <w:vAlign w:val="bottom"/>
          </w:tcPr>
          <w:p w14:paraId="34E030DF"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Unstandardized Residual</w:t>
            </w:r>
          </w:p>
        </w:tc>
      </w:tr>
      <w:tr w:rsidR="006D0608" w:rsidRPr="006D0608" w14:paraId="6E7965A5" w14:textId="77777777" w:rsidTr="005B345A">
        <w:trPr>
          <w:cantSplit/>
          <w:trHeight w:val="319"/>
        </w:trPr>
        <w:tc>
          <w:tcPr>
            <w:tcW w:w="4780" w:type="dxa"/>
            <w:gridSpan w:val="2"/>
            <w:shd w:val="clear" w:color="auto" w:fill="E0E0E0"/>
          </w:tcPr>
          <w:p w14:paraId="2EDD9423"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N</w:t>
            </w:r>
          </w:p>
        </w:tc>
        <w:tc>
          <w:tcPr>
            <w:tcW w:w="1814" w:type="dxa"/>
            <w:shd w:val="clear" w:color="auto" w:fill="FFFFFF"/>
          </w:tcPr>
          <w:p w14:paraId="0588DC55"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100</w:t>
            </w:r>
          </w:p>
        </w:tc>
      </w:tr>
      <w:tr w:rsidR="006D0608" w:rsidRPr="006D0608" w14:paraId="78E67786" w14:textId="77777777" w:rsidTr="005B345A">
        <w:trPr>
          <w:cantSplit/>
          <w:trHeight w:val="305"/>
        </w:trPr>
        <w:tc>
          <w:tcPr>
            <w:tcW w:w="3004" w:type="dxa"/>
            <w:vMerge w:val="restart"/>
            <w:shd w:val="clear" w:color="auto" w:fill="E0E0E0"/>
          </w:tcPr>
          <w:p w14:paraId="423D50B2"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Normal Parameters</w:t>
            </w:r>
            <w:r w:rsidRPr="006D0608">
              <w:rPr>
                <w:color w:val="264A60"/>
                <w:sz w:val="18"/>
                <w:szCs w:val="18"/>
                <w:vertAlign w:val="superscript"/>
              </w:rPr>
              <w:t>a,b</w:t>
            </w:r>
          </w:p>
        </w:tc>
        <w:tc>
          <w:tcPr>
            <w:tcW w:w="1775" w:type="dxa"/>
            <w:shd w:val="clear" w:color="auto" w:fill="E0E0E0"/>
          </w:tcPr>
          <w:p w14:paraId="454D89EA"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Mean</w:t>
            </w:r>
          </w:p>
        </w:tc>
        <w:tc>
          <w:tcPr>
            <w:tcW w:w="1814" w:type="dxa"/>
            <w:shd w:val="clear" w:color="auto" w:fill="FFFFFF"/>
          </w:tcPr>
          <w:p w14:paraId="4AB0BA43"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.0000000</w:t>
            </w:r>
          </w:p>
        </w:tc>
      </w:tr>
      <w:tr w:rsidR="006D0608" w:rsidRPr="006D0608" w14:paraId="321670E5" w14:textId="77777777" w:rsidTr="005B345A">
        <w:trPr>
          <w:cantSplit/>
          <w:trHeight w:val="334"/>
        </w:trPr>
        <w:tc>
          <w:tcPr>
            <w:tcW w:w="3004" w:type="dxa"/>
            <w:vMerge/>
            <w:shd w:val="clear" w:color="auto" w:fill="E0E0E0"/>
          </w:tcPr>
          <w:p w14:paraId="3C84520E" w14:textId="77777777" w:rsidR="006D0608" w:rsidRPr="006D0608" w:rsidRDefault="006D0608" w:rsidP="005B345A">
            <w:pPr>
              <w:autoSpaceDE w:val="0"/>
              <w:autoSpaceDN w:val="0"/>
              <w:adjustRightInd w:val="0"/>
              <w:rPr>
                <w:color w:val="010205"/>
                <w:sz w:val="18"/>
                <w:szCs w:val="18"/>
              </w:rPr>
            </w:pPr>
          </w:p>
        </w:tc>
        <w:tc>
          <w:tcPr>
            <w:tcW w:w="1775" w:type="dxa"/>
            <w:shd w:val="clear" w:color="auto" w:fill="E0E0E0"/>
          </w:tcPr>
          <w:p w14:paraId="3B4CBF06"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Std. Deviation</w:t>
            </w:r>
          </w:p>
        </w:tc>
        <w:tc>
          <w:tcPr>
            <w:tcW w:w="1814" w:type="dxa"/>
            <w:shd w:val="clear" w:color="auto" w:fill="FFFFFF"/>
          </w:tcPr>
          <w:p w14:paraId="0A491E27"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.08468387</w:t>
            </w:r>
          </w:p>
        </w:tc>
      </w:tr>
      <w:tr w:rsidR="006D0608" w:rsidRPr="006D0608" w14:paraId="49380FDD" w14:textId="77777777" w:rsidTr="005B345A">
        <w:trPr>
          <w:cantSplit/>
          <w:trHeight w:val="319"/>
        </w:trPr>
        <w:tc>
          <w:tcPr>
            <w:tcW w:w="3004" w:type="dxa"/>
            <w:vMerge w:val="restart"/>
            <w:shd w:val="clear" w:color="auto" w:fill="E0E0E0"/>
          </w:tcPr>
          <w:p w14:paraId="21F5D9E9"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Most Extreme Differences</w:t>
            </w:r>
          </w:p>
        </w:tc>
        <w:tc>
          <w:tcPr>
            <w:tcW w:w="1775" w:type="dxa"/>
            <w:shd w:val="clear" w:color="auto" w:fill="E0E0E0"/>
          </w:tcPr>
          <w:p w14:paraId="6FB57584"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Absolute</w:t>
            </w:r>
          </w:p>
        </w:tc>
        <w:tc>
          <w:tcPr>
            <w:tcW w:w="1814" w:type="dxa"/>
            <w:shd w:val="clear" w:color="auto" w:fill="FFFFFF"/>
          </w:tcPr>
          <w:p w14:paraId="1F6A39CC"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.087</w:t>
            </w:r>
          </w:p>
        </w:tc>
      </w:tr>
      <w:tr w:rsidR="006D0608" w:rsidRPr="006D0608" w14:paraId="750929F3" w14:textId="77777777" w:rsidTr="005B345A">
        <w:trPr>
          <w:cantSplit/>
          <w:trHeight w:val="319"/>
        </w:trPr>
        <w:tc>
          <w:tcPr>
            <w:tcW w:w="3004" w:type="dxa"/>
            <w:vMerge/>
            <w:shd w:val="clear" w:color="auto" w:fill="E0E0E0"/>
          </w:tcPr>
          <w:p w14:paraId="06C57970" w14:textId="77777777" w:rsidR="006D0608" w:rsidRPr="006D0608" w:rsidRDefault="006D0608" w:rsidP="005B345A">
            <w:pPr>
              <w:autoSpaceDE w:val="0"/>
              <w:autoSpaceDN w:val="0"/>
              <w:adjustRightInd w:val="0"/>
              <w:rPr>
                <w:color w:val="010205"/>
                <w:sz w:val="18"/>
                <w:szCs w:val="18"/>
              </w:rPr>
            </w:pPr>
          </w:p>
        </w:tc>
        <w:tc>
          <w:tcPr>
            <w:tcW w:w="1775" w:type="dxa"/>
            <w:shd w:val="clear" w:color="auto" w:fill="E0E0E0"/>
          </w:tcPr>
          <w:p w14:paraId="60D08398"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Positive</w:t>
            </w:r>
          </w:p>
        </w:tc>
        <w:tc>
          <w:tcPr>
            <w:tcW w:w="1814" w:type="dxa"/>
            <w:shd w:val="clear" w:color="auto" w:fill="FFFFFF"/>
          </w:tcPr>
          <w:p w14:paraId="3A554A1E"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.087</w:t>
            </w:r>
          </w:p>
        </w:tc>
      </w:tr>
      <w:tr w:rsidR="006D0608" w:rsidRPr="006D0608" w14:paraId="61728EFE" w14:textId="77777777" w:rsidTr="005B345A">
        <w:trPr>
          <w:cantSplit/>
          <w:trHeight w:val="334"/>
        </w:trPr>
        <w:tc>
          <w:tcPr>
            <w:tcW w:w="3004" w:type="dxa"/>
            <w:vMerge/>
            <w:shd w:val="clear" w:color="auto" w:fill="E0E0E0"/>
          </w:tcPr>
          <w:p w14:paraId="7B9B534C" w14:textId="77777777" w:rsidR="006D0608" w:rsidRPr="006D0608" w:rsidRDefault="006D0608" w:rsidP="005B345A">
            <w:pPr>
              <w:autoSpaceDE w:val="0"/>
              <w:autoSpaceDN w:val="0"/>
              <w:adjustRightInd w:val="0"/>
              <w:rPr>
                <w:color w:val="010205"/>
                <w:sz w:val="18"/>
                <w:szCs w:val="18"/>
              </w:rPr>
            </w:pPr>
          </w:p>
        </w:tc>
        <w:tc>
          <w:tcPr>
            <w:tcW w:w="1775" w:type="dxa"/>
            <w:shd w:val="clear" w:color="auto" w:fill="E0E0E0"/>
          </w:tcPr>
          <w:p w14:paraId="10D78CEA"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Negative</w:t>
            </w:r>
          </w:p>
        </w:tc>
        <w:tc>
          <w:tcPr>
            <w:tcW w:w="1814" w:type="dxa"/>
            <w:shd w:val="clear" w:color="auto" w:fill="FFFFFF"/>
          </w:tcPr>
          <w:p w14:paraId="38459BB0"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-.072</w:t>
            </w:r>
          </w:p>
        </w:tc>
      </w:tr>
      <w:tr w:rsidR="006D0608" w:rsidRPr="006D0608" w14:paraId="5A086051" w14:textId="77777777" w:rsidTr="005B345A">
        <w:trPr>
          <w:cantSplit/>
          <w:trHeight w:val="319"/>
        </w:trPr>
        <w:tc>
          <w:tcPr>
            <w:tcW w:w="4780" w:type="dxa"/>
            <w:gridSpan w:val="2"/>
            <w:shd w:val="clear" w:color="auto" w:fill="E0E0E0"/>
          </w:tcPr>
          <w:p w14:paraId="02E4A13C"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Test Statistic</w:t>
            </w:r>
          </w:p>
        </w:tc>
        <w:tc>
          <w:tcPr>
            <w:tcW w:w="1814" w:type="dxa"/>
            <w:shd w:val="clear" w:color="auto" w:fill="FFFFFF"/>
          </w:tcPr>
          <w:p w14:paraId="180A310C"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.087</w:t>
            </w:r>
          </w:p>
        </w:tc>
      </w:tr>
      <w:tr w:rsidR="006D0608" w:rsidRPr="006D0608" w14:paraId="08B25CF0" w14:textId="77777777" w:rsidTr="005B345A">
        <w:trPr>
          <w:cantSplit/>
          <w:trHeight w:val="305"/>
        </w:trPr>
        <w:tc>
          <w:tcPr>
            <w:tcW w:w="4780" w:type="dxa"/>
            <w:gridSpan w:val="2"/>
            <w:shd w:val="clear" w:color="auto" w:fill="E0E0E0"/>
          </w:tcPr>
          <w:p w14:paraId="0E63F4CC"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Asymp. Sig. (2-tailed)</w:t>
            </w:r>
          </w:p>
        </w:tc>
        <w:tc>
          <w:tcPr>
            <w:tcW w:w="1814" w:type="dxa"/>
            <w:shd w:val="clear" w:color="auto" w:fill="FFFFFF"/>
          </w:tcPr>
          <w:p w14:paraId="2BB2E2C5"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.057</w:t>
            </w:r>
            <w:r w:rsidRPr="006D0608">
              <w:rPr>
                <w:color w:val="010205"/>
                <w:sz w:val="18"/>
                <w:szCs w:val="18"/>
                <w:vertAlign w:val="superscript"/>
              </w:rPr>
              <w:t>c</w:t>
            </w:r>
          </w:p>
        </w:tc>
      </w:tr>
      <w:tr w:rsidR="006D0608" w:rsidRPr="006D0608" w14:paraId="59AA7914" w14:textId="77777777" w:rsidTr="005B345A">
        <w:trPr>
          <w:cantSplit/>
          <w:trHeight w:val="319"/>
        </w:trPr>
        <w:tc>
          <w:tcPr>
            <w:tcW w:w="6594" w:type="dxa"/>
            <w:gridSpan w:val="3"/>
            <w:shd w:val="clear" w:color="auto" w:fill="FFFFFF"/>
          </w:tcPr>
          <w:p w14:paraId="3DA40D99" w14:textId="77777777" w:rsidR="006D0608" w:rsidRPr="006D0608" w:rsidRDefault="006D0608" w:rsidP="005B345A">
            <w:pPr>
              <w:autoSpaceDE w:val="0"/>
              <w:autoSpaceDN w:val="0"/>
              <w:adjustRightInd w:val="0"/>
              <w:spacing w:line="320" w:lineRule="atLeast"/>
              <w:ind w:left="60" w:right="60"/>
              <w:rPr>
                <w:color w:val="010205"/>
                <w:sz w:val="18"/>
                <w:szCs w:val="18"/>
              </w:rPr>
            </w:pPr>
            <w:r w:rsidRPr="006D0608">
              <w:rPr>
                <w:color w:val="010205"/>
                <w:sz w:val="18"/>
                <w:szCs w:val="18"/>
              </w:rPr>
              <w:t>a. Test distribution is Normal.</w:t>
            </w:r>
          </w:p>
        </w:tc>
      </w:tr>
      <w:tr w:rsidR="006D0608" w:rsidRPr="006D0608" w14:paraId="53229463" w14:textId="77777777" w:rsidTr="005B345A">
        <w:trPr>
          <w:cantSplit/>
          <w:trHeight w:val="305"/>
        </w:trPr>
        <w:tc>
          <w:tcPr>
            <w:tcW w:w="6594" w:type="dxa"/>
            <w:gridSpan w:val="3"/>
            <w:shd w:val="clear" w:color="auto" w:fill="FFFFFF"/>
          </w:tcPr>
          <w:p w14:paraId="7BF3CD94" w14:textId="77777777" w:rsidR="006D0608" w:rsidRPr="006D0608" w:rsidRDefault="006D0608" w:rsidP="005B345A">
            <w:pPr>
              <w:autoSpaceDE w:val="0"/>
              <w:autoSpaceDN w:val="0"/>
              <w:adjustRightInd w:val="0"/>
              <w:spacing w:line="320" w:lineRule="atLeast"/>
              <w:ind w:left="60" w:right="60"/>
              <w:rPr>
                <w:color w:val="010205"/>
                <w:sz w:val="18"/>
                <w:szCs w:val="18"/>
              </w:rPr>
            </w:pPr>
            <w:r w:rsidRPr="006D0608">
              <w:rPr>
                <w:color w:val="010205"/>
                <w:sz w:val="18"/>
                <w:szCs w:val="18"/>
              </w:rPr>
              <w:t>b. Calculated from data.</w:t>
            </w:r>
          </w:p>
        </w:tc>
      </w:tr>
      <w:tr w:rsidR="006D0608" w:rsidRPr="006D0608" w14:paraId="48230894" w14:textId="77777777" w:rsidTr="005B345A">
        <w:trPr>
          <w:cantSplit/>
          <w:trHeight w:val="319"/>
        </w:trPr>
        <w:tc>
          <w:tcPr>
            <w:tcW w:w="6594" w:type="dxa"/>
            <w:gridSpan w:val="3"/>
            <w:shd w:val="clear" w:color="auto" w:fill="FFFFFF"/>
          </w:tcPr>
          <w:p w14:paraId="70A369E9" w14:textId="77777777" w:rsidR="006D0608" w:rsidRPr="006D0608" w:rsidRDefault="006D0608" w:rsidP="005B345A">
            <w:pPr>
              <w:autoSpaceDE w:val="0"/>
              <w:autoSpaceDN w:val="0"/>
              <w:adjustRightInd w:val="0"/>
              <w:spacing w:line="320" w:lineRule="atLeast"/>
              <w:ind w:left="60" w:right="60"/>
              <w:rPr>
                <w:color w:val="010205"/>
                <w:sz w:val="18"/>
                <w:szCs w:val="18"/>
              </w:rPr>
            </w:pPr>
            <w:r w:rsidRPr="006D0608">
              <w:rPr>
                <w:color w:val="010205"/>
                <w:sz w:val="18"/>
                <w:szCs w:val="18"/>
              </w:rPr>
              <w:t>c. Lilliefors Significance Correction.</w:t>
            </w:r>
          </w:p>
        </w:tc>
      </w:tr>
    </w:tbl>
    <w:p w14:paraId="7767F6B2" w14:textId="36D935A9" w:rsidR="006A64A5" w:rsidRPr="006A64A5" w:rsidRDefault="006A64A5" w:rsidP="006A64A5">
      <w:pPr>
        <w:autoSpaceDE w:val="0"/>
        <w:autoSpaceDN w:val="0"/>
        <w:adjustRightInd w:val="0"/>
        <w:spacing w:line="400" w:lineRule="atLeast"/>
        <w:ind w:left="180"/>
        <w:jc w:val="center"/>
        <w:rPr>
          <w:i/>
          <w:iCs/>
        </w:rPr>
      </w:pPr>
      <w:r w:rsidRPr="006A64A5">
        <w:rPr>
          <w:i/>
          <w:iCs/>
        </w:rPr>
        <w:t>Sumber: Hasil Pengolahan Data dengan SPSS Ver. 25 (202</w:t>
      </w:r>
      <w:r>
        <w:rPr>
          <w:i/>
          <w:iCs/>
          <w:lang w:val="en-US"/>
        </w:rPr>
        <w:t>3</w:t>
      </w:r>
      <w:r w:rsidRPr="006A64A5">
        <w:rPr>
          <w:i/>
          <w:iCs/>
        </w:rPr>
        <w:t>)</w:t>
      </w:r>
    </w:p>
    <w:p w14:paraId="5D56EF17" w14:textId="77777777" w:rsidR="006A64A5" w:rsidRDefault="006A64A5" w:rsidP="006A64A5">
      <w:pPr>
        <w:ind w:left="180"/>
      </w:pPr>
    </w:p>
    <w:p w14:paraId="2D8FE9BB" w14:textId="77777777" w:rsidR="006D0608" w:rsidRDefault="006D0608" w:rsidP="006D0608">
      <w:pPr>
        <w:ind w:left="180"/>
        <w:jc w:val="both"/>
      </w:pPr>
      <w:r>
        <w:t>Hasil uji Kolmogorov – Smirnov pada data yang di outlier, menunjukkan nilai signifikan sebesar 0.057. Signifikansi ini dapat ditemukan pada nilai Asymp. Sig. (2 – tailed) dari uji Kolmogorov – Smirnov. Perlu diperhatikan bahwa nilai signifikan yang diperoleh lebih besar dari 0.05. Oleh karena itu, berdasarkan uji Kolmogorov – Smirnov, dapat disimpulkan bahwa data yang digunakan menunjukkan distribusi yang bersifat normal, karena nilai signifikan dari residual melebihi 0.05.</w:t>
      </w:r>
    </w:p>
    <w:p w14:paraId="0042B0F6" w14:textId="62B3B90B" w:rsidR="006A64A5" w:rsidRDefault="006D0608" w:rsidP="006D0608">
      <w:pPr>
        <w:ind w:left="180"/>
        <w:jc w:val="both"/>
      </w:pPr>
      <w:r>
        <w:t>Analisis grafik dan analisis statistik secara keseluruhan memberikan indikasi bahwa data yang digunakan telah terdistribusi secara normal dan dapat dianggap layak untuk dilakukan pengujian lebih lanjut.</w:t>
      </w:r>
    </w:p>
    <w:p w14:paraId="14E99207" w14:textId="77777777" w:rsidR="006A64A5" w:rsidRDefault="006A64A5" w:rsidP="006A64A5">
      <w:pPr>
        <w:ind w:left="180"/>
        <w:jc w:val="both"/>
      </w:pPr>
    </w:p>
    <w:p w14:paraId="20B22E56" w14:textId="5B204A5F" w:rsidR="006A64A5" w:rsidRPr="006D0608" w:rsidRDefault="006D0608" w:rsidP="006A64A5">
      <w:pPr>
        <w:ind w:left="180"/>
        <w:jc w:val="both"/>
        <w:rPr>
          <w:b/>
          <w:bCs/>
        </w:rPr>
      </w:pPr>
      <w:r w:rsidRPr="006D0608">
        <w:rPr>
          <w:b/>
          <w:bCs/>
        </w:rPr>
        <w:t>Uji Multikolinearitas</w:t>
      </w:r>
    </w:p>
    <w:p w14:paraId="4C851EA2" w14:textId="77777777" w:rsidR="006A64A5" w:rsidRDefault="006A64A5" w:rsidP="006A64A5">
      <w:pPr>
        <w:ind w:left="180"/>
        <w:jc w:val="both"/>
      </w:pPr>
    </w:p>
    <w:p w14:paraId="42117DA9" w14:textId="77777777" w:rsidR="006D0608" w:rsidRPr="006D0608" w:rsidRDefault="006D0608" w:rsidP="006D0608">
      <w:pPr>
        <w:autoSpaceDE w:val="0"/>
        <w:autoSpaceDN w:val="0"/>
        <w:adjustRightInd w:val="0"/>
        <w:spacing w:line="480" w:lineRule="auto"/>
        <w:ind w:left="180"/>
        <w:jc w:val="both"/>
        <w:rPr>
          <w:rFonts w:ascii="Arial" w:hAnsi="Arial" w:cs="Arial"/>
        </w:rPr>
      </w:pPr>
      <w:r w:rsidRPr="006D0608">
        <w:t>Uji multikolinearitas dari data yang digunakan dapat dilihat pada tabel berikut ini</w:t>
      </w:r>
      <w:r w:rsidRPr="006D0608">
        <w:rPr>
          <w:rFonts w:ascii="Arial" w:hAnsi="Arial" w:cs="Arial"/>
        </w:rPr>
        <w:t>:</w:t>
      </w:r>
    </w:p>
    <w:p w14:paraId="05C40A7D" w14:textId="17437930" w:rsidR="006D0608" w:rsidRPr="006D0608" w:rsidRDefault="006D0608" w:rsidP="006D0608">
      <w:pPr>
        <w:pStyle w:val="ListParagraph"/>
        <w:autoSpaceDE w:val="0"/>
        <w:autoSpaceDN w:val="0"/>
        <w:adjustRightInd w:val="0"/>
        <w:spacing w:after="0" w:line="480" w:lineRule="auto"/>
        <w:ind w:left="180"/>
        <w:jc w:val="center"/>
        <w:rPr>
          <w:rFonts w:ascii="Times New Roman" w:hAnsi="Times New Roman" w:cs="Times New Roman"/>
          <w:b/>
          <w:bCs/>
          <w:sz w:val="24"/>
          <w:szCs w:val="24"/>
        </w:rPr>
      </w:pPr>
      <w:r w:rsidRPr="006D0608">
        <w:rPr>
          <w:rFonts w:ascii="Times New Roman" w:hAnsi="Times New Roman" w:cs="Times New Roman"/>
          <w:b/>
          <w:bCs/>
          <w:sz w:val="24"/>
          <w:szCs w:val="24"/>
        </w:rPr>
        <w:t>Tabel 4.</w:t>
      </w:r>
      <w:r w:rsidRPr="006D0608">
        <w:rPr>
          <w:rFonts w:ascii="Times New Roman" w:hAnsi="Times New Roman" w:cs="Times New Roman"/>
          <w:b/>
          <w:bCs/>
          <w:sz w:val="24"/>
          <w:szCs w:val="24"/>
        </w:rPr>
        <w:t xml:space="preserve">3, </w:t>
      </w:r>
      <w:r w:rsidRPr="006D0608">
        <w:rPr>
          <w:rFonts w:ascii="Times New Roman" w:hAnsi="Times New Roman" w:cs="Times New Roman"/>
          <w:b/>
          <w:bCs/>
          <w:sz w:val="24"/>
          <w:szCs w:val="24"/>
        </w:rPr>
        <w:t>Hasil Uji Multikolinearitas</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1"/>
        <w:gridCol w:w="988"/>
        <w:gridCol w:w="1115"/>
        <w:gridCol w:w="1117"/>
        <w:gridCol w:w="1230"/>
        <w:gridCol w:w="857"/>
        <w:gridCol w:w="857"/>
        <w:gridCol w:w="949"/>
        <w:gridCol w:w="861"/>
        <w:gridCol w:w="9"/>
      </w:tblGrid>
      <w:tr w:rsidR="006D0608" w:rsidRPr="006D0608" w14:paraId="584A057D" w14:textId="77777777" w:rsidTr="006D0608">
        <w:trPr>
          <w:cantSplit/>
          <w:trHeight w:val="315"/>
          <w:jc w:val="center"/>
        </w:trPr>
        <w:tc>
          <w:tcPr>
            <w:tcW w:w="8594" w:type="dxa"/>
            <w:gridSpan w:val="10"/>
            <w:shd w:val="clear" w:color="auto" w:fill="FFFFFF"/>
            <w:vAlign w:val="center"/>
          </w:tcPr>
          <w:p w14:paraId="4CD31143" w14:textId="77777777" w:rsidR="006D0608" w:rsidRPr="006D0608" w:rsidRDefault="006D0608" w:rsidP="005B345A">
            <w:pPr>
              <w:autoSpaceDE w:val="0"/>
              <w:autoSpaceDN w:val="0"/>
              <w:adjustRightInd w:val="0"/>
              <w:spacing w:line="320" w:lineRule="atLeast"/>
              <w:ind w:left="60" w:right="60"/>
              <w:jc w:val="center"/>
              <w:rPr>
                <w:color w:val="010205"/>
              </w:rPr>
            </w:pPr>
            <w:r w:rsidRPr="006D0608">
              <w:rPr>
                <w:b/>
                <w:bCs/>
                <w:color w:val="010205"/>
              </w:rPr>
              <w:t>Coefficients</w:t>
            </w:r>
            <w:r w:rsidRPr="006D0608">
              <w:rPr>
                <w:b/>
                <w:bCs/>
                <w:color w:val="010205"/>
                <w:vertAlign w:val="superscript"/>
              </w:rPr>
              <w:t>a</w:t>
            </w:r>
          </w:p>
        </w:tc>
      </w:tr>
      <w:tr w:rsidR="006D0608" w:rsidRPr="006D0608" w14:paraId="2AC3682D" w14:textId="77777777" w:rsidTr="006D0608">
        <w:trPr>
          <w:gridAfter w:val="1"/>
          <w:wAfter w:w="9" w:type="dxa"/>
          <w:cantSplit/>
          <w:trHeight w:val="645"/>
          <w:jc w:val="center"/>
        </w:trPr>
        <w:tc>
          <w:tcPr>
            <w:tcW w:w="1599" w:type="dxa"/>
            <w:gridSpan w:val="2"/>
            <w:vMerge w:val="restart"/>
            <w:shd w:val="clear" w:color="auto" w:fill="FFFFFF"/>
            <w:vAlign w:val="bottom"/>
          </w:tcPr>
          <w:p w14:paraId="2AC1778F"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Model</w:t>
            </w:r>
          </w:p>
        </w:tc>
        <w:tc>
          <w:tcPr>
            <w:tcW w:w="2232" w:type="dxa"/>
            <w:gridSpan w:val="2"/>
            <w:shd w:val="clear" w:color="auto" w:fill="FFFFFF"/>
            <w:vAlign w:val="bottom"/>
          </w:tcPr>
          <w:p w14:paraId="5B14790C"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Unstandardized Coefficients</w:t>
            </w:r>
          </w:p>
        </w:tc>
        <w:tc>
          <w:tcPr>
            <w:tcW w:w="1230" w:type="dxa"/>
            <w:shd w:val="clear" w:color="auto" w:fill="FFFFFF"/>
            <w:vAlign w:val="bottom"/>
          </w:tcPr>
          <w:p w14:paraId="3B74A1DE"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Standardized Coefficients</w:t>
            </w:r>
          </w:p>
        </w:tc>
        <w:tc>
          <w:tcPr>
            <w:tcW w:w="857" w:type="dxa"/>
            <w:vMerge w:val="restart"/>
            <w:shd w:val="clear" w:color="auto" w:fill="FFFFFF"/>
            <w:vAlign w:val="bottom"/>
          </w:tcPr>
          <w:p w14:paraId="047299B1"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t</w:t>
            </w:r>
          </w:p>
        </w:tc>
        <w:tc>
          <w:tcPr>
            <w:tcW w:w="857" w:type="dxa"/>
            <w:vMerge w:val="restart"/>
            <w:shd w:val="clear" w:color="auto" w:fill="FFFFFF"/>
            <w:vAlign w:val="bottom"/>
          </w:tcPr>
          <w:p w14:paraId="3B7EDF30"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Sig.</w:t>
            </w:r>
          </w:p>
        </w:tc>
        <w:tc>
          <w:tcPr>
            <w:tcW w:w="1810" w:type="dxa"/>
            <w:gridSpan w:val="2"/>
            <w:shd w:val="clear" w:color="auto" w:fill="FFFFFF"/>
            <w:vAlign w:val="bottom"/>
          </w:tcPr>
          <w:p w14:paraId="0D44FDA5"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Collinearity Statistics</w:t>
            </w:r>
          </w:p>
        </w:tc>
      </w:tr>
      <w:tr w:rsidR="006D0608" w:rsidRPr="006D0608" w14:paraId="17245B99" w14:textId="77777777" w:rsidTr="006D0608">
        <w:trPr>
          <w:gridAfter w:val="1"/>
          <w:wAfter w:w="9" w:type="dxa"/>
          <w:cantSplit/>
          <w:trHeight w:val="315"/>
          <w:jc w:val="center"/>
        </w:trPr>
        <w:tc>
          <w:tcPr>
            <w:tcW w:w="1599" w:type="dxa"/>
            <w:gridSpan w:val="2"/>
            <w:vMerge/>
            <w:shd w:val="clear" w:color="auto" w:fill="FFFFFF"/>
            <w:vAlign w:val="bottom"/>
          </w:tcPr>
          <w:p w14:paraId="258059E5" w14:textId="77777777" w:rsidR="006D0608" w:rsidRPr="006D0608" w:rsidRDefault="006D0608" w:rsidP="005B345A">
            <w:pPr>
              <w:autoSpaceDE w:val="0"/>
              <w:autoSpaceDN w:val="0"/>
              <w:adjustRightInd w:val="0"/>
              <w:rPr>
                <w:color w:val="264A60"/>
                <w:sz w:val="18"/>
                <w:szCs w:val="18"/>
              </w:rPr>
            </w:pPr>
          </w:p>
        </w:tc>
        <w:tc>
          <w:tcPr>
            <w:tcW w:w="1115" w:type="dxa"/>
            <w:shd w:val="clear" w:color="auto" w:fill="FFFFFF"/>
            <w:vAlign w:val="bottom"/>
          </w:tcPr>
          <w:p w14:paraId="48056DF9"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B</w:t>
            </w:r>
          </w:p>
        </w:tc>
        <w:tc>
          <w:tcPr>
            <w:tcW w:w="1117" w:type="dxa"/>
            <w:shd w:val="clear" w:color="auto" w:fill="FFFFFF"/>
            <w:vAlign w:val="bottom"/>
          </w:tcPr>
          <w:p w14:paraId="1358C3C0"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Std. Error</w:t>
            </w:r>
          </w:p>
        </w:tc>
        <w:tc>
          <w:tcPr>
            <w:tcW w:w="1230" w:type="dxa"/>
            <w:shd w:val="clear" w:color="auto" w:fill="FFFFFF"/>
            <w:vAlign w:val="bottom"/>
          </w:tcPr>
          <w:p w14:paraId="4F5A4B81"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Beta</w:t>
            </w:r>
          </w:p>
        </w:tc>
        <w:tc>
          <w:tcPr>
            <w:tcW w:w="857" w:type="dxa"/>
            <w:vMerge/>
            <w:shd w:val="clear" w:color="auto" w:fill="FFFFFF"/>
            <w:vAlign w:val="bottom"/>
          </w:tcPr>
          <w:p w14:paraId="560F7AE3" w14:textId="77777777" w:rsidR="006D0608" w:rsidRPr="006D0608" w:rsidRDefault="006D0608" w:rsidP="005B345A">
            <w:pPr>
              <w:autoSpaceDE w:val="0"/>
              <w:autoSpaceDN w:val="0"/>
              <w:adjustRightInd w:val="0"/>
              <w:rPr>
                <w:color w:val="264A60"/>
                <w:sz w:val="18"/>
                <w:szCs w:val="18"/>
              </w:rPr>
            </w:pPr>
          </w:p>
        </w:tc>
        <w:tc>
          <w:tcPr>
            <w:tcW w:w="857" w:type="dxa"/>
            <w:vMerge/>
            <w:shd w:val="clear" w:color="auto" w:fill="FFFFFF"/>
            <w:vAlign w:val="bottom"/>
          </w:tcPr>
          <w:p w14:paraId="2AEA4D4D" w14:textId="77777777" w:rsidR="006D0608" w:rsidRPr="006D0608" w:rsidRDefault="006D0608" w:rsidP="005B345A">
            <w:pPr>
              <w:autoSpaceDE w:val="0"/>
              <w:autoSpaceDN w:val="0"/>
              <w:adjustRightInd w:val="0"/>
              <w:rPr>
                <w:color w:val="264A60"/>
                <w:sz w:val="18"/>
                <w:szCs w:val="18"/>
              </w:rPr>
            </w:pPr>
          </w:p>
        </w:tc>
        <w:tc>
          <w:tcPr>
            <w:tcW w:w="949" w:type="dxa"/>
            <w:shd w:val="clear" w:color="auto" w:fill="FFFFFF"/>
            <w:vAlign w:val="bottom"/>
          </w:tcPr>
          <w:p w14:paraId="79A45FF5"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Tolerance</w:t>
            </w:r>
          </w:p>
        </w:tc>
        <w:tc>
          <w:tcPr>
            <w:tcW w:w="861" w:type="dxa"/>
            <w:shd w:val="clear" w:color="auto" w:fill="FFFFFF"/>
            <w:vAlign w:val="bottom"/>
          </w:tcPr>
          <w:p w14:paraId="320223CE" w14:textId="77777777" w:rsidR="006D0608" w:rsidRPr="006D0608" w:rsidRDefault="006D0608" w:rsidP="005B345A">
            <w:pPr>
              <w:autoSpaceDE w:val="0"/>
              <w:autoSpaceDN w:val="0"/>
              <w:adjustRightInd w:val="0"/>
              <w:spacing w:line="320" w:lineRule="atLeast"/>
              <w:ind w:left="60" w:right="60"/>
              <w:jc w:val="center"/>
              <w:rPr>
                <w:color w:val="264A60"/>
                <w:sz w:val="18"/>
                <w:szCs w:val="18"/>
              </w:rPr>
            </w:pPr>
            <w:r w:rsidRPr="006D0608">
              <w:rPr>
                <w:color w:val="264A60"/>
                <w:sz w:val="18"/>
                <w:szCs w:val="18"/>
              </w:rPr>
              <w:t>VIF</w:t>
            </w:r>
          </w:p>
        </w:tc>
      </w:tr>
      <w:tr w:rsidR="006D0608" w:rsidRPr="006D0608" w14:paraId="28F3650F" w14:textId="77777777" w:rsidTr="006D0608">
        <w:trPr>
          <w:gridAfter w:val="1"/>
          <w:wAfter w:w="9" w:type="dxa"/>
          <w:cantSplit/>
          <w:trHeight w:val="330"/>
          <w:jc w:val="center"/>
        </w:trPr>
        <w:tc>
          <w:tcPr>
            <w:tcW w:w="611" w:type="dxa"/>
            <w:vMerge w:val="restart"/>
            <w:shd w:val="clear" w:color="auto" w:fill="E0E0E0"/>
          </w:tcPr>
          <w:p w14:paraId="68DAB42D"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1</w:t>
            </w:r>
          </w:p>
        </w:tc>
        <w:tc>
          <w:tcPr>
            <w:tcW w:w="988" w:type="dxa"/>
            <w:shd w:val="clear" w:color="auto" w:fill="E0E0E0"/>
          </w:tcPr>
          <w:p w14:paraId="293F1A03"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(Constant)</w:t>
            </w:r>
          </w:p>
        </w:tc>
        <w:tc>
          <w:tcPr>
            <w:tcW w:w="1115" w:type="dxa"/>
            <w:shd w:val="clear" w:color="auto" w:fill="FFFFFF"/>
          </w:tcPr>
          <w:p w14:paraId="74D59BA2"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.127</w:t>
            </w:r>
          </w:p>
        </w:tc>
        <w:tc>
          <w:tcPr>
            <w:tcW w:w="1117" w:type="dxa"/>
            <w:shd w:val="clear" w:color="auto" w:fill="FFFFFF"/>
          </w:tcPr>
          <w:p w14:paraId="41C09F0C"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.056</w:t>
            </w:r>
          </w:p>
        </w:tc>
        <w:tc>
          <w:tcPr>
            <w:tcW w:w="1230" w:type="dxa"/>
            <w:shd w:val="clear" w:color="auto" w:fill="FFFFFF"/>
            <w:vAlign w:val="center"/>
          </w:tcPr>
          <w:p w14:paraId="15A25951" w14:textId="77777777" w:rsidR="006D0608" w:rsidRPr="006D0608" w:rsidRDefault="006D0608" w:rsidP="005B345A">
            <w:pPr>
              <w:autoSpaceDE w:val="0"/>
              <w:autoSpaceDN w:val="0"/>
              <w:adjustRightInd w:val="0"/>
            </w:pPr>
          </w:p>
        </w:tc>
        <w:tc>
          <w:tcPr>
            <w:tcW w:w="857" w:type="dxa"/>
            <w:shd w:val="clear" w:color="auto" w:fill="FFFFFF"/>
          </w:tcPr>
          <w:p w14:paraId="1049369F"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2.284</w:t>
            </w:r>
          </w:p>
        </w:tc>
        <w:tc>
          <w:tcPr>
            <w:tcW w:w="857" w:type="dxa"/>
            <w:shd w:val="clear" w:color="auto" w:fill="FFFFFF"/>
          </w:tcPr>
          <w:p w14:paraId="63C11C18"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.025</w:t>
            </w:r>
          </w:p>
        </w:tc>
        <w:tc>
          <w:tcPr>
            <w:tcW w:w="949" w:type="dxa"/>
            <w:shd w:val="clear" w:color="auto" w:fill="FFFFFF"/>
            <w:vAlign w:val="center"/>
          </w:tcPr>
          <w:p w14:paraId="025FB69D" w14:textId="77777777" w:rsidR="006D0608" w:rsidRPr="006D0608" w:rsidRDefault="006D0608" w:rsidP="005B345A">
            <w:pPr>
              <w:autoSpaceDE w:val="0"/>
              <w:autoSpaceDN w:val="0"/>
              <w:adjustRightInd w:val="0"/>
            </w:pPr>
          </w:p>
        </w:tc>
        <w:tc>
          <w:tcPr>
            <w:tcW w:w="861" w:type="dxa"/>
            <w:shd w:val="clear" w:color="auto" w:fill="FFFFFF"/>
            <w:vAlign w:val="center"/>
          </w:tcPr>
          <w:p w14:paraId="2CED5C1C" w14:textId="77777777" w:rsidR="006D0608" w:rsidRPr="006D0608" w:rsidRDefault="006D0608" w:rsidP="005B345A">
            <w:pPr>
              <w:autoSpaceDE w:val="0"/>
              <w:autoSpaceDN w:val="0"/>
              <w:adjustRightInd w:val="0"/>
            </w:pPr>
          </w:p>
        </w:tc>
      </w:tr>
      <w:tr w:rsidR="006D0608" w:rsidRPr="006D0608" w14:paraId="6D099C76" w14:textId="77777777" w:rsidTr="006D0608">
        <w:trPr>
          <w:gridAfter w:val="1"/>
          <w:wAfter w:w="9" w:type="dxa"/>
          <w:cantSplit/>
          <w:trHeight w:val="345"/>
          <w:jc w:val="center"/>
        </w:trPr>
        <w:tc>
          <w:tcPr>
            <w:tcW w:w="611" w:type="dxa"/>
            <w:vMerge/>
            <w:shd w:val="clear" w:color="auto" w:fill="E0E0E0"/>
          </w:tcPr>
          <w:p w14:paraId="1C78B47D" w14:textId="77777777" w:rsidR="006D0608" w:rsidRPr="006D0608" w:rsidRDefault="006D0608" w:rsidP="005B345A">
            <w:pPr>
              <w:autoSpaceDE w:val="0"/>
              <w:autoSpaceDN w:val="0"/>
              <w:adjustRightInd w:val="0"/>
            </w:pPr>
          </w:p>
        </w:tc>
        <w:tc>
          <w:tcPr>
            <w:tcW w:w="988" w:type="dxa"/>
            <w:shd w:val="clear" w:color="auto" w:fill="E0E0E0"/>
          </w:tcPr>
          <w:p w14:paraId="5DB0D030"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CR</w:t>
            </w:r>
          </w:p>
        </w:tc>
        <w:tc>
          <w:tcPr>
            <w:tcW w:w="1115" w:type="dxa"/>
            <w:shd w:val="clear" w:color="auto" w:fill="FFFFFF"/>
          </w:tcPr>
          <w:p w14:paraId="632FA4CA"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.013</w:t>
            </w:r>
          </w:p>
        </w:tc>
        <w:tc>
          <w:tcPr>
            <w:tcW w:w="1117" w:type="dxa"/>
            <w:shd w:val="clear" w:color="auto" w:fill="FFFFFF"/>
          </w:tcPr>
          <w:p w14:paraId="35D1D40B"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.014</w:t>
            </w:r>
          </w:p>
        </w:tc>
        <w:tc>
          <w:tcPr>
            <w:tcW w:w="1230" w:type="dxa"/>
            <w:shd w:val="clear" w:color="auto" w:fill="FFFFFF"/>
          </w:tcPr>
          <w:p w14:paraId="4DC06ABC"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.109</w:t>
            </w:r>
          </w:p>
        </w:tc>
        <w:tc>
          <w:tcPr>
            <w:tcW w:w="857" w:type="dxa"/>
            <w:shd w:val="clear" w:color="auto" w:fill="FFFFFF"/>
          </w:tcPr>
          <w:p w14:paraId="69CB85BC"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.955</w:t>
            </w:r>
          </w:p>
        </w:tc>
        <w:tc>
          <w:tcPr>
            <w:tcW w:w="857" w:type="dxa"/>
            <w:shd w:val="clear" w:color="auto" w:fill="FFFFFF"/>
          </w:tcPr>
          <w:p w14:paraId="3FD67C87"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.342</w:t>
            </w:r>
          </w:p>
        </w:tc>
        <w:tc>
          <w:tcPr>
            <w:tcW w:w="949" w:type="dxa"/>
            <w:shd w:val="clear" w:color="auto" w:fill="FFFFFF"/>
          </w:tcPr>
          <w:p w14:paraId="22740ADB"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.690</w:t>
            </w:r>
          </w:p>
        </w:tc>
        <w:tc>
          <w:tcPr>
            <w:tcW w:w="861" w:type="dxa"/>
            <w:shd w:val="clear" w:color="auto" w:fill="FFFFFF"/>
          </w:tcPr>
          <w:p w14:paraId="58D135CB"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1.449</w:t>
            </w:r>
          </w:p>
        </w:tc>
      </w:tr>
      <w:tr w:rsidR="006D0608" w:rsidRPr="006D0608" w14:paraId="1C39EBD8" w14:textId="77777777" w:rsidTr="006D0608">
        <w:trPr>
          <w:gridAfter w:val="1"/>
          <w:wAfter w:w="9" w:type="dxa"/>
          <w:cantSplit/>
          <w:trHeight w:val="330"/>
          <w:jc w:val="center"/>
        </w:trPr>
        <w:tc>
          <w:tcPr>
            <w:tcW w:w="611" w:type="dxa"/>
            <w:vMerge/>
            <w:shd w:val="clear" w:color="auto" w:fill="E0E0E0"/>
          </w:tcPr>
          <w:p w14:paraId="24C45467" w14:textId="77777777" w:rsidR="006D0608" w:rsidRPr="006D0608" w:rsidRDefault="006D0608" w:rsidP="005B345A">
            <w:pPr>
              <w:autoSpaceDE w:val="0"/>
              <w:autoSpaceDN w:val="0"/>
              <w:adjustRightInd w:val="0"/>
              <w:rPr>
                <w:color w:val="010205"/>
                <w:sz w:val="18"/>
                <w:szCs w:val="18"/>
              </w:rPr>
            </w:pPr>
          </w:p>
        </w:tc>
        <w:tc>
          <w:tcPr>
            <w:tcW w:w="988" w:type="dxa"/>
            <w:shd w:val="clear" w:color="auto" w:fill="E0E0E0"/>
          </w:tcPr>
          <w:p w14:paraId="1AE6BEE0"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DAR</w:t>
            </w:r>
          </w:p>
        </w:tc>
        <w:tc>
          <w:tcPr>
            <w:tcW w:w="1115" w:type="dxa"/>
            <w:shd w:val="clear" w:color="auto" w:fill="FFFFFF"/>
          </w:tcPr>
          <w:p w14:paraId="2135477B"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-.153</w:t>
            </w:r>
          </w:p>
        </w:tc>
        <w:tc>
          <w:tcPr>
            <w:tcW w:w="1117" w:type="dxa"/>
            <w:shd w:val="clear" w:color="auto" w:fill="FFFFFF"/>
          </w:tcPr>
          <w:p w14:paraId="140404B1"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.072</w:t>
            </w:r>
          </w:p>
        </w:tc>
        <w:tc>
          <w:tcPr>
            <w:tcW w:w="1230" w:type="dxa"/>
            <w:shd w:val="clear" w:color="auto" w:fill="FFFFFF"/>
          </w:tcPr>
          <w:p w14:paraId="7934A6F4"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-.250</w:t>
            </w:r>
          </w:p>
        </w:tc>
        <w:tc>
          <w:tcPr>
            <w:tcW w:w="857" w:type="dxa"/>
            <w:shd w:val="clear" w:color="auto" w:fill="FFFFFF"/>
          </w:tcPr>
          <w:p w14:paraId="73F5E8BB"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-2.134</w:t>
            </w:r>
          </w:p>
        </w:tc>
        <w:tc>
          <w:tcPr>
            <w:tcW w:w="857" w:type="dxa"/>
            <w:shd w:val="clear" w:color="auto" w:fill="FFFFFF"/>
          </w:tcPr>
          <w:p w14:paraId="3BEE4525"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.035</w:t>
            </w:r>
          </w:p>
        </w:tc>
        <w:tc>
          <w:tcPr>
            <w:tcW w:w="949" w:type="dxa"/>
            <w:shd w:val="clear" w:color="auto" w:fill="FFFFFF"/>
          </w:tcPr>
          <w:p w14:paraId="3EDF75FB"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.660</w:t>
            </w:r>
          </w:p>
        </w:tc>
        <w:tc>
          <w:tcPr>
            <w:tcW w:w="861" w:type="dxa"/>
            <w:shd w:val="clear" w:color="auto" w:fill="FFFFFF"/>
          </w:tcPr>
          <w:p w14:paraId="1DBDFA59"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1.516</w:t>
            </w:r>
          </w:p>
        </w:tc>
      </w:tr>
      <w:tr w:rsidR="006D0608" w:rsidRPr="006D0608" w14:paraId="62FCC421" w14:textId="77777777" w:rsidTr="006D0608">
        <w:trPr>
          <w:gridAfter w:val="1"/>
          <w:wAfter w:w="9" w:type="dxa"/>
          <w:cantSplit/>
          <w:trHeight w:val="345"/>
          <w:jc w:val="center"/>
        </w:trPr>
        <w:tc>
          <w:tcPr>
            <w:tcW w:w="611" w:type="dxa"/>
            <w:vMerge/>
            <w:shd w:val="clear" w:color="auto" w:fill="E0E0E0"/>
          </w:tcPr>
          <w:p w14:paraId="75198A31" w14:textId="77777777" w:rsidR="006D0608" w:rsidRPr="006D0608" w:rsidRDefault="006D0608" w:rsidP="005B345A">
            <w:pPr>
              <w:autoSpaceDE w:val="0"/>
              <w:autoSpaceDN w:val="0"/>
              <w:adjustRightInd w:val="0"/>
              <w:rPr>
                <w:color w:val="010205"/>
                <w:sz w:val="18"/>
                <w:szCs w:val="18"/>
              </w:rPr>
            </w:pPr>
          </w:p>
        </w:tc>
        <w:tc>
          <w:tcPr>
            <w:tcW w:w="988" w:type="dxa"/>
            <w:shd w:val="clear" w:color="auto" w:fill="E0E0E0"/>
          </w:tcPr>
          <w:p w14:paraId="6FD77A00" w14:textId="77777777" w:rsidR="006D0608" w:rsidRPr="006D0608" w:rsidRDefault="006D0608" w:rsidP="005B345A">
            <w:pPr>
              <w:autoSpaceDE w:val="0"/>
              <w:autoSpaceDN w:val="0"/>
              <w:adjustRightInd w:val="0"/>
              <w:spacing w:line="320" w:lineRule="atLeast"/>
              <w:ind w:left="60" w:right="60"/>
              <w:rPr>
                <w:color w:val="264A60"/>
                <w:sz w:val="18"/>
                <w:szCs w:val="18"/>
              </w:rPr>
            </w:pPr>
            <w:r w:rsidRPr="006D0608">
              <w:rPr>
                <w:color w:val="264A60"/>
                <w:sz w:val="18"/>
                <w:szCs w:val="18"/>
              </w:rPr>
              <w:t>TATO</w:t>
            </w:r>
          </w:p>
        </w:tc>
        <w:tc>
          <w:tcPr>
            <w:tcW w:w="1115" w:type="dxa"/>
            <w:shd w:val="clear" w:color="auto" w:fill="FFFFFF"/>
          </w:tcPr>
          <w:p w14:paraId="38704A1C"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.021</w:t>
            </w:r>
          </w:p>
        </w:tc>
        <w:tc>
          <w:tcPr>
            <w:tcW w:w="1117" w:type="dxa"/>
            <w:shd w:val="clear" w:color="auto" w:fill="FFFFFF"/>
          </w:tcPr>
          <w:p w14:paraId="46D7F49B"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.022</w:t>
            </w:r>
          </w:p>
        </w:tc>
        <w:tc>
          <w:tcPr>
            <w:tcW w:w="1230" w:type="dxa"/>
            <w:shd w:val="clear" w:color="auto" w:fill="FFFFFF"/>
          </w:tcPr>
          <w:p w14:paraId="65CFAF61"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.094</w:t>
            </w:r>
          </w:p>
        </w:tc>
        <w:tc>
          <w:tcPr>
            <w:tcW w:w="857" w:type="dxa"/>
            <w:shd w:val="clear" w:color="auto" w:fill="FFFFFF"/>
          </w:tcPr>
          <w:p w14:paraId="6B880A9B"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.941</w:t>
            </w:r>
          </w:p>
        </w:tc>
        <w:tc>
          <w:tcPr>
            <w:tcW w:w="857" w:type="dxa"/>
            <w:shd w:val="clear" w:color="auto" w:fill="FFFFFF"/>
          </w:tcPr>
          <w:p w14:paraId="5D0BCB80"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.349</w:t>
            </w:r>
          </w:p>
        </w:tc>
        <w:tc>
          <w:tcPr>
            <w:tcW w:w="949" w:type="dxa"/>
            <w:shd w:val="clear" w:color="auto" w:fill="FFFFFF"/>
          </w:tcPr>
          <w:p w14:paraId="288ADC9F"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.913</w:t>
            </w:r>
          </w:p>
        </w:tc>
        <w:tc>
          <w:tcPr>
            <w:tcW w:w="861" w:type="dxa"/>
            <w:shd w:val="clear" w:color="auto" w:fill="FFFFFF"/>
          </w:tcPr>
          <w:p w14:paraId="723E818C" w14:textId="77777777" w:rsidR="006D0608" w:rsidRPr="006D0608" w:rsidRDefault="006D0608" w:rsidP="005B345A">
            <w:pPr>
              <w:autoSpaceDE w:val="0"/>
              <w:autoSpaceDN w:val="0"/>
              <w:adjustRightInd w:val="0"/>
              <w:spacing w:line="320" w:lineRule="atLeast"/>
              <w:ind w:left="60" w:right="60"/>
              <w:jc w:val="right"/>
              <w:rPr>
                <w:color w:val="010205"/>
                <w:sz w:val="18"/>
                <w:szCs w:val="18"/>
              </w:rPr>
            </w:pPr>
            <w:r w:rsidRPr="006D0608">
              <w:rPr>
                <w:color w:val="010205"/>
                <w:sz w:val="18"/>
                <w:szCs w:val="18"/>
              </w:rPr>
              <w:t>1.095</w:t>
            </w:r>
          </w:p>
        </w:tc>
      </w:tr>
      <w:tr w:rsidR="006D0608" w:rsidRPr="006D0608" w14:paraId="28A6DA64" w14:textId="77777777" w:rsidTr="006D0608">
        <w:trPr>
          <w:cantSplit/>
          <w:trHeight w:val="330"/>
          <w:jc w:val="center"/>
        </w:trPr>
        <w:tc>
          <w:tcPr>
            <w:tcW w:w="8594" w:type="dxa"/>
            <w:gridSpan w:val="10"/>
            <w:shd w:val="clear" w:color="auto" w:fill="FFFFFF"/>
          </w:tcPr>
          <w:p w14:paraId="15FD11F6" w14:textId="77777777" w:rsidR="006D0608" w:rsidRPr="006D0608" w:rsidRDefault="006D0608" w:rsidP="005B345A">
            <w:pPr>
              <w:autoSpaceDE w:val="0"/>
              <w:autoSpaceDN w:val="0"/>
              <w:adjustRightInd w:val="0"/>
              <w:spacing w:line="320" w:lineRule="atLeast"/>
              <w:ind w:left="60" w:right="60"/>
              <w:rPr>
                <w:color w:val="010205"/>
                <w:sz w:val="18"/>
                <w:szCs w:val="18"/>
              </w:rPr>
            </w:pPr>
            <w:r w:rsidRPr="006D0608">
              <w:rPr>
                <w:color w:val="010205"/>
                <w:sz w:val="18"/>
                <w:szCs w:val="18"/>
              </w:rPr>
              <w:t>a. Dependent Variable: NPM</w:t>
            </w:r>
          </w:p>
        </w:tc>
      </w:tr>
    </w:tbl>
    <w:p w14:paraId="241507DF" w14:textId="20271AFF" w:rsidR="006D0608" w:rsidRPr="006D0608" w:rsidRDefault="006D0608" w:rsidP="006D0608">
      <w:pPr>
        <w:autoSpaceDE w:val="0"/>
        <w:autoSpaceDN w:val="0"/>
        <w:adjustRightInd w:val="0"/>
        <w:spacing w:line="480" w:lineRule="auto"/>
        <w:ind w:left="180"/>
        <w:jc w:val="center"/>
        <w:rPr>
          <w:i/>
          <w:iCs/>
        </w:rPr>
      </w:pPr>
      <w:r w:rsidRPr="006D0608">
        <w:rPr>
          <w:i/>
          <w:iCs/>
        </w:rPr>
        <w:t>Sumber: Hasil Pengolahan Data dengan SPSS Ver. 25 (202</w:t>
      </w:r>
      <w:r>
        <w:rPr>
          <w:i/>
          <w:iCs/>
          <w:lang w:val="en-US"/>
        </w:rPr>
        <w:t>3</w:t>
      </w:r>
      <w:r w:rsidRPr="006D0608">
        <w:rPr>
          <w:i/>
          <w:iCs/>
        </w:rPr>
        <w:t>)</w:t>
      </w:r>
    </w:p>
    <w:p w14:paraId="5F08F975" w14:textId="77777777" w:rsidR="006D0608" w:rsidRDefault="006D0608" w:rsidP="006D0608">
      <w:pPr>
        <w:ind w:left="180"/>
        <w:jc w:val="both"/>
      </w:pPr>
      <w:r>
        <w:t>Tabel 4.3 menunjukkan nilai tolerance dari Current Ratio (X1) sebesar 0.690, yang lebih besar dari 0.1, dan nilai VIF sebesar 1.449, lebih kecil dari 10. Hal ini menyiratkan bahwa variabel bebas Current Ratio (X1) tidak terdampak oleh masalah Multikolinearitas.</w:t>
      </w:r>
    </w:p>
    <w:p w14:paraId="00FCA9B1" w14:textId="77777777" w:rsidR="006D0608" w:rsidRDefault="006D0608" w:rsidP="006D0608">
      <w:pPr>
        <w:ind w:left="180"/>
        <w:jc w:val="both"/>
      </w:pPr>
      <w:r>
        <w:t>Demikian pula, nilai tolerance dari Debt to Asset Ratio (X2) adalah 0.660, yang lebih besar dari 0.1, dan nilai VIF sebesar 1.516, lebih kecil dari 10. Oleh karena itu, dapat disimpulkan bahwa variabel bebas Debt to Asset Ratio (X2) tidak terkena masalah Multikolinearitas.</w:t>
      </w:r>
    </w:p>
    <w:p w14:paraId="2F17A036" w14:textId="77777777" w:rsidR="006D0608" w:rsidRDefault="006D0608" w:rsidP="006D0608">
      <w:pPr>
        <w:ind w:left="180"/>
        <w:jc w:val="both"/>
      </w:pPr>
      <w:r>
        <w:t>Sementara nilai tolerance dari Total Asset Turn Over (X3) adalah 0.913, yang lebih besar dari 0.1, dan nilai VIF sebesar 1.095, lebih kecil dari 10. Ini mengindikasikan bahwa variabel bebas Total Asset Turn Over (X3) tidak terpengaruh oleh masalah Multikolinearitas.</w:t>
      </w:r>
    </w:p>
    <w:p w14:paraId="37289052" w14:textId="56D396B2" w:rsidR="006A64A5" w:rsidRDefault="006D0608" w:rsidP="006D0608">
      <w:pPr>
        <w:ind w:left="180"/>
        <w:jc w:val="both"/>
      </w:pPr>
      <w:r>
        <w:t>Dengan demikian, hasil uji menunjukkan bahwa ketiga variabel bebas, yaitu Current Ratio (X1), Debt to Asset Ratio (X2), dan Total Asset Turn Over (X3), tidak mengalami masalah Multikolinearitas.</w:t>
      </w:r>
    </w:p>
    <w:p w14:paraId="5D3A94D6" w14:textId="77777777" w:rsidR="006A64A5" w:rsidRDefault="006A64A5" w:rsidP="006A64A5">
      <w:pPr>
        <w:ind w:left="180"/>
        <w:jc w:val="both"/>
      </w:pPr>
    </w:p>
    <w:p w14:paraId="03763A5B" w14:textId="314DF730" w:rsidR="006A64A5" w:rsidRPr="00221A65" w:rsidRDefault="00221A65" w:rsidP="006A64A5">
      <w:pPr>
        <w:ind w:left="180"/>
        <w:jc w:val="both"/>
        <w:rPr>
          <w:b/>
          <w:bCs/>
        </w:rPr>
      </w:pPr>
      <w:r w:rsidRPr="00221A65">
        <w:rPr>
          <w:b/>
          <w:bCs/>
        </w:rPr>
        <w:t>Uji Heteroskedastisitas</w:t>
      </w:r>
    </w:p>
    <w:p w14:paraId="2966CB12" w14:textId="4391F0F3" w:rsidR="006A64A5" w:rsidRDefault="00221A65" w:rsidP="006A64A5">
      <w:pPr>
        <w:ind w:left="180"/>
        <w:jc w:val="both"/>
      </w:pPr>
      <w:r w:rsidRPr="00221A65">
        <w:t>Hasil uji glejser dari hasil regresi variabel bebas terhadap absolut residual dapat dilihat pada tabel berikut ini:</w:t>
      </w:r>
    </w:p>
    <w:p w14:paraId="5DEFB658" w14:textId="77777777" w:rsidR="007B077A" w:rsidRDefault="007B077A" w:rsidP="006A64A5">
      <w:pPr>
        <w:ind w:left="180"/>
        <w:jc w:val="both"/>
      </w:pPr>
    </w:p>
    <w:p w14:paraId="15115A1A" w14:textId="13618BD6" w:rsidR="00221A65" w:rsidRDefault="00221A65" w:rsidP="00221A65">
      <w:pPr>
        <w:pStyle w:val="ListParagraph"/>
        <w:spacing w:after="0" w:line="240" w:lineRule="auto"/>
        <w:ind w:left="180"/>
        <w:jc w:val="center"/>
        <w:rPr>
          <w:rFonts w:ascii="Times New Roman" w:hAnsi="Times New Roman" w:cs="Times New Roman"/>
          <w:b/>
          <w:bCs/>
          <w:sz w:val="24"/>
          <w:szCs w:val="24"/>
          <w:lang w:val="en-US"/>
        </w:rPr>
      </w:pPr>
      <w:r w:rsidRPr="00221A65">
        <w:rPr>
          <w:rFonts w:ascii="Times New Roman" w:hAnsi="Times New Roman" w:cs="Times New Roman"/>
          <w:b/>
          <w:bCs/>
          <w:sz w:val="24"/>
          <w:szCs w:val="24"/>
          <w:lang w:val="en-US"/>
        </w:rPr>
        <w:t>Tabel 4.</w:t>
      </w:r>
      <w:r>
        <w:rPr>
          <w:rFonts w:ascii="Times New Roman" w:hAnsi="Times New Roman" w:cs="Times New Roman"/>
          <w:b/>
          <w:bCs/>
          <w:sz w:val="24"/>
          <w:szCs w:val="24"/>
          <w:lang w:val="en-US"/>
        </w:rPr>
        <w:t>4</w:t>
      </w:r>
      <w:r w:rsidRPr="00221A65">
        <w:rPr>
          <w:rFonts w:ascii="Times New Roman" w:hAnsi="Times New Roman" w:cs="Times New Roman"/>
          <w:b/>
          <w:bCs/>
          <w:sz w:val="24"/>
          <w:szCs w:val="24"/>
          <w:lang w:val="en-US"/>
        </w:rPr>
        <w:t xml:space="preserve">, </w:t>
      </w:r>
      <w:r w:rsidRPr="00221A65">
        <w:rPr>
          <w:rFonts w:ascii="Times New Roman" w:hAnsi="Times New Roman" w:cs="Times New Roman"/>
          <w:b/>
          <w:bCs/>
          <w:sz w:val="24"/>
          <w:szCs w:val="24"/>
          <w:lang w:val="en-US"/>
        </w:rPr>
        <w:t>Hasil Uji Glejser Gejala Heteroskedastisitas</w:t>
      </w:r>
    </w:p>
    <w:p w14:paraId="74883073" w14:textId="77777777" w:rsidR="00221A65" w:rsidRPr="00221A65" w:rsidRDefault="00221A65" w:rsidP="00221A65">
      <w:pPr>
        <w:pStyle w:val="ListParagraph"/>
        <w:spacing w:after="0" w:line="240" w:lineRule="auto"/>
        <w:ind w:left="180"/>
        <w:jc w:val="center"/>
        <w:rPr>
          <w:rFonts w:ascii="Times New Roman" w:hAnsi="Times New Roman" w:cs="Times New Roman"/>
          <w:b/>
          <w:bCs/>
          <w:sz w:val="24"/>
          <w:szCs w:val="24"/>
          <w:lang w:val="en-US"/>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3"/>
        <w:gridCol w:w="1004"/>
        <w:gridCol w:w="1133"/>
        <w:gridCol w:w="1133"/>
        <w:gridCol w:w="1249"/>
        <w:gridCol w:w="870"/>
        <w:gridCol w:w="870"/>
        <w:gridCol w:w="962"/>
        <w:gridCol w:w="881"/>
      </w:tblGrid>
      <w:tr w:rsidR="00221A65" w:rsidRPr="00221A65" w14:paraId="664F179D" w14:textId="77777777" w:rsidTr="00221A65">
        <w:trPr>
          <w:cantSplit/>
          <w:trHeight w:val="236"/>
          <w:jc w:val="center"/>
        </w:trPr>
        <w:tc>
          <w:tcPr>
            <w:tcW w:w="8725" w:type="dxa"/>
            <w:gridSpan w:val="9"/>
            <w:shd w:val="clear" w:color="auto" w:fill="FFFFFF"/>
            <w:vAlign w:val="center"/>
          </w:tcPr>
          <w:p w14:paraId="55BA4753" w14:textId="77777777" w:rsidR="00221A65" w:rsidRPr="00221A65" w:rsidRDefault="00221A65" w:rsidP="00221A65">
            <w:pPr>
              <w:autoSpaceDE w:val="0"/>
              <w:autoSpaceDN w:val="0"/>
              <w:adjustRightInd w:val="0"/>
              <w:ind w:left="60" w:right="60"/>
              <w:jc w:val="center"/>
              <w:rPr>
                <w:color w:val="010205"/>
              </w:rPr>
            </w:pPr>
            <w:r w:rsidRPr="00221A65">
              <w:rPr>
                <w:b/>
                <w:bCs/>
                <w:color w:val="010205"/>
              </w:rPr>
              <w:t>Coefficients</w:t>
            </w:r>
            <w:r w:rsidRPr="00221A65">
              <w:rPr>
                <w:b/>
                <w:bCs/>
                <w:color w:val="010205"/>
                <w:vertAlign w:val="superscript"/>
              </w:rPr>
              <w:t>a</w:t>
            </w:r>
          </w:p>
        </w:tc>
      </w:tr>
      <w:tr w:rsidR="00221A65" w:rsidRPr="00221A65" w14:paraId="0A901ACE" w14:textId="77777777" w:rsidTr="00221A65">
        <w:trPr>
          <w:cantSplit/>
          <w:trHeight w:val="473"/>
          <w:jc w:val="center"/>
        </w:trPr>
        <w:tc>
          <w:tcPr>
            <w:tcW w:w="1627" w:type="dxa"/>
            <w:gridSpan w:val="2"/>
            <w:vMerge w:val="restart"/>
            <w:shd w:val="clear" w:color="auto" w:fill="FFFFFF"/>
            <w:vAlign w:val="bottom"/>
          </w:tcPr>
          <w:p w14:paraId="0349C16C"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Model</w:t>
            </w:r>
          </w:p>
        </w:tc>
        <w:tc>
          <w:tcPr>
            <w:tcW w:w="2266" w:type="dxa"/>
            <w:gridSpan w:val="2"/>
            <w:shd w:val="clear" w:color="auto" w:fill="FFFFFF"/>
            <w:vAlign w:val="bottom"/>
          </w:tcPr>
          <w:p w14:paraId="3F8E087A"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Unstandardized Coefficients</w:t>
            </w:r>
          </w:p>
        </w:tc>
        <w:tc>
          <w:tcPr>
            <w:tcW w:w="1249" w:type="dxa"/>
            <w:shd w:val="clear" w:color="auto" w:fill="FFFFFF"/>
            <w:vAlign w:val="bottom"/>
          </w:tcPr>
          <w:p w14:paraId="46E80BA9"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Standardized Coefficients</w:t>
            </w:r>
          </w:p>
        </w:tc>
        <w:tc>
          <w:tcPr>
            <w:tcW w:w="870" w:type="dxa"/>
            <w:vMerge w:val="restart"/>
            <w:shd w:val="clear" w:color="auto" w:fill="FFFFFF"/>
            <w:vAlign w:val="bottom"/>
          </w:tcPr>
          <w:p w14:paraId="4F142CFB"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t</w:t>
            </w:r>
          </w:p>
        </w:tc>
        <w:tc>
          <w:tcPr>
            <w:tcW w:w="870" w:type="dxa"/>
            <w:vMerge w:val="restart"/>
            <w:shd w:val="clear" w:color="auto" w:fill="FFFFFF"/>
            <w:vAlign w:val="bottom"/>
          </w:tcPr>
          <w:p w14:paraId="540E8A2D"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Sig.</w:t>
            </w:r>
          </w:p>
        </w:tc>
        <w:tc>
          <w:tcPr>
            <w:tcW w:w="1843" w:type="dxa"/>
            <w:gridSpan w:val="2"/>
            <w:shd w:val="clear" w:color="auto" w:fill="FFFFFF"/>
            <w:vAlign w:val="bottom"/>
          </w:tcPr>
          <w:p w14:paraId="4CD7B6E4"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Collinearity Statistics</w:t>
            </w:r>
          </w:p>
        </w:tc>
      </w:tr>
      <w:tr w:rsidR="00221A65" w:rsidRPr="00221A65" w14:paraId="4686EC41" w14:textId="77777777" w:rsidTr="00221A65">
        <w:trPr>
          <w:cantSplit/>
          <w:trHeight w:val="248"/>
          <w:jc w:val="center"/>
        </w:trPr>
        <w:tc>
          <w:tcPr>
            <w:tcW w:w="1627" w:type="dxa"/>
            <w:gridSpan w:val="2"/>
            <w:vMerge/>
            <w:shd w:val="clear" w:color="auto" w:fill="FFFFFF"/>
            <w:vAlign w:val="bottom"/>
          </w:tcPr>
          <w:p w14:paraId="5560F95F" w14:textId="77777777" w:rsidR="00221A65" w:rsidRPr="00221A65" w:rsidRDefault="00221A65" w:rsidP="00221A65">
            <w:pPr>
              <w:autoSpaceDE w:val="0"/>
              <w:autoSpaceDN w:val="0"/>
              <w:adjustRightInd w:val="0"/>
              <w:rPr>
                <w:color w:val="264A60"/>
                <w:sz w:val="18"/>
                <w:szCs w:val="18"/>
              </w:rPr>
            </w:pPr>
          </w:p>
        </w:tc>
        <w:tc>
          <w:tcPr>
            <w:tcW w:w="1133" w:type="dxa"/>
            <w:shd w:val="clear" w:color="auto" w:fill="FFFFFF"/>
            <w:vAlign w:val="bottom"/>
          </w:tcPr>
          <w:p w14:paraId="044B959F"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B</w:t>
            </w:r>
          </w:p>
        </w:tc>
        <w:tc>
          <w:tcPr>
            <w:tcW w:w="1133" w:type="dxa"/>
            <w:shd w:val="clear" w:color="auto" w:fill="FFFFFF"/>
            <w:vAlign w:val="bottom"/>
          </w:tcPr>
          <w:p w14:paraId="62B79BA6"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Std. Error</w:t>
            </w:r>
          </w:p>
        </w:tc>
        <w:tc>
          <w:tcPr>
            <w:tcW w:w="1249" w:type="dxa"/>
            <w:shd w:val="clear" w:color="auto" w:fill="FFFFFF"/>
            <w:vAlign w:val="bottom"/>
          </w:tcPr>
          <w:p w14:paraId="38DB138F"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Beta</w:t>
            </w:r>
          </w:p>
        </w:tc>
        <w:tc>
          <w:tcPr>
            <w:tcW w:w="870" w:type="dxa"/>
            <w:vMerge/>
            <w:shd w:val="clear" w:color="auto" w:fill="FFFFFF"/>
            <w:vAlign w:val="bottom"/>
          </w:tcPr>
          <w:p w14:paraId="478A3023" w14:textId="77777777" w:rsidR="00221A65" w:rsidRPr="00221A65" w:rsidRDefault="00221A65" w:rsidP="00221A65">
            <w:pPr>
              <w:autoSpaceDE w:val="0"/>
              <w:autoSpaceDN w:val="0"/>
              <w:adjustRightInd w:val="0"/>
              <w:rPr>
                <w:color w:val="264A60"/>
                <w:sz w:val="18"/>
                <w:szCs w:val="18"/>
              </w:rPr>
            </w:pPr>
          </w:p>
        </w:tc>
        <w:tc>
          <w:tcPr>
            <w:tcW w:w="870" w:type="dxa"/>
            <w:vMerge/>
            <w:shd w:val="clear" w:color="auto" w:fill="FFFFFF"/>
            <w:vAlign w:val="bottom"/>
          </w:tcPr>
          <w:p w14:paraId="1B658ABB" w14:textId="77777777" w:rsidR="00221A65" w:rsidRPr="00221A65" w:rsidRDefault="00221A65" w:rsidP="00221A65">
            <w:pPr>
              <w:autoSpaceDE w:val="0"/>
              <w:autoSpaceDN w:val="0"/>
              <w:adjustRightInd w:val="0"/>
              <w:rPr>
                <w:color w:val="264A60"/>
                <w:sz w:val="18"/>
                <w:szCs w:val="18"/>
              </w:rPr>
            </w:pPr>
          </w:p>
        </w:tc>
        <w:tc>
          <w:tcPr>
            <w:tcW w:w="962" w:type="dxa"/>
            <w:shd w:val="clear" w:color="auto" w:fill="FFFFFF"/>
            <w:vAlign w:val="bottom"/>
          </w:tcPr>
          <w:p w14:paraId="2187DD82"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Tolerance</w:t>
            </w:r>
          </w:p>
        </w:tc>
        <w:tc>
          <w:tcPr>
            <w:tcW w:w="881" w:type="dxa"/>
            <w:shd w:val="clear" w:color="auto" w:fill="FFFFFF"/>
            <w:vAlign w:val="bottom"/>
          </w:tcPr>
          <w:p w14:paraId="74499931" w14:textId="77777777" w:rsidR="00221A65" w:rsidRPr="00221A65" w:rsidRDefault="00221A65" w:rsidP="00221A65">
            <w:pPr>
              <w:autoSpaceDE w:val="0"/>
              <w:autoSpaceDN w:val="0"/>
              <w:adjustRightInd w:val="0"/>
              <w:ind w:left="60" w:right="60"/>
              <w:jc w:val="center"/>
              <w:rPr>
                <w:color w:val="264A60"/>
                <w:sz w:val="18"/>
                <w:szCs w:val="18"/>
              </w:rPr>
            </w:pPr>
            <w:r w:rsidRPr="00221A65">
              <w:rPr>
                <w:color w:val="264A60"/>
                <w:sz w:val="18"/>
                <w:szCs w:val="18"/>
              </w:rPr>
              <w:t>VIF</w:t>
            </w:r>
          </w:p>
        </w:tc>
      </w:tr>
      <w:tr w:rsidR="00221A65" w:rsidRPr="00221A65" w14:paraId="6F087CF9" w14:textId="77777777" w:rsidTr="00221A65">
        <w:trPr>
          <w:cantSplit/>
          <w:trHeight w:val="236"/>
          <w:jc w:val="center"/>
        </w:trPr>
        <w:tc>
          <w:tcPr>
            <w:tcW w:w="623" w:type="dxa"/>
            <w:vMerge w:val="restart"/>
            <w:shd w:val="clear" w:color="auto" w:fill="E0E0E0"/>
          </w:tcPr>
          <w:p w14:paraId="41225267" w14:textId="77777777" w:rsidR="00221A65" w:rsidRPr="00221A65" w:rsidRDefault="00221A65" w:rsidP="00221A65">
            <w:pPr>
              <w:autoSpaceDE w:val="0"/>
              <w:autoSpaceDN w:val="0"/>
              <w:adjustRightInd w:val="0"/>
              <w:ind w:left="60" w:right="60"/>
              <w:rPr>
                <w:color w:val="264A60"/>
                <w:sz w:val="18"/>
                <w:szCs w:val="18"/>
              </w:rPr>
            </w:pPr>
            <w:r w:rsidRPr="00221A65">
              <w:rPr>
                <w:color w:val="264A60"/>
                <w:sz w:val="18"/>
                <w:szCs w:val="18"/>
              </w:rPr>
              <w:t>1</w:t>
            </w:r>
          </w:p>
        </w:tc>
        <w:tc>
          <w:tcPr>
            <w:tcW w:w="1004" w:type="dxa"/>
            <w:shd w:val="clear" w:color="auto" w:fill="E0E0E0"/>
          </w:tcPr>
          <w:p w14:paraId="5CC01C9F" w14:textId="77777777" w:rsidR="00221A65" w:rsidRPr="00221A65" w:rsidRDefault="00221A65" w:rsidP="00221A65">
            <w:pPr>
              <w:autoSpaceDE w:val="0"/>
              <w:autoSpaceDN w:val="0"/>
              <w:adjustRightInd w:val="0"/>
              <w:ind w:left="60" w:right="60"/>
              <w:rPr>
                <w:color w:val="264A60"/>
                <w:sz w:val="18"/>
                <w:szCs w:val="18"/>
              </w:rPr>
            </w:pPr>
            <w:r w:rsidRPr="00221A65">
              <w:rPr>
                <w:color w:val="264A60"/>
                <w:sz w:val="18"/>
                <w:szCs w:val="18"/>
              </w:rPr>
              <w:t>(Constant)</w:t>
            </w:r>
          </w:p>
        </w:tc>
        <w:tc>
          <w:tcPr>
            <w:tcW w:w="1133" w:type="dxa"/>
            <w:shd w:val="clear" w:color="auto" w:fill="FFFFFF"/>
          </w:tcPr>
          <w:p w14:paraId="5116EC7B"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.083</w:t>
            </w:r>
          </w:p>
        </w:tc>
        <w:tc>
          <w:tcPr>
            <w:tcW w:w="1133" w:type="dxa"/>
            <w:shd w:val="clear" w:color="auto" w:fill="FFFFFF"/>
          </w:tcPr>
          <w:p w14:paraId="777B1A06"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.037</w:t>
            </w:r>
          </w:p>
        </w:tc>
        <w:tc>
          <w:tcPr>
            <w:tcW w:w="1249" w:type="dxa"/>
            <w:shd w:val="clear" w:color="auto" w:fill="FFFFFF"/>
            <w:vAlign w:val="center"/>
          </w:tcPr>
          <w:p w14:paraId="48A2553C" w14:textId="77777777" w:rsidR="00221A65" w:rsidRPr="00221A65" w:rsidRDefault="00221A65" w:rsidP="00221A65">
            <w:pPr>
              <w:autoSpaceDE w:val="0"/>
              <w:autoSpaceDN w:val="0"/>
              <w:adjustRightInd w:val="0"/>
            </w:pPr>
          </w:p>
        </w:tc>
        <w:tc>
          <w:tcPr>
            <w:tcW w:w="870" w:type="dxa"/>
            <w:shd w:val="clear" w:color="auto" w:fill="FFFFFF"/>
          </w:tcPr>
          <w:p w14:paraId="16ACBEC8"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2.263</w:t>
            </w:r>
          </w:p>
        </w:tc>
        <w:tc>
          <w:tcPr>
            <w:tcW w:w="870" w:type="dxa"/>
            <w:shd w:val="clear" w:color="auto" w:fill="FFFFFF"/>
          </w:tcPr>
          <w:p w14:paraId="7C1FCC47"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.026</w:t>
            </w:r>
          </w:p>
        </w:tc>
        <w:tc>
          <w:tcPr>
            <w:tcW w:w="962" w:type="dxa"/>
            <w:shd w:val="clear" w:color="auto" w:fill="FFFFFF"/>
            <w:vAlign w:val="center"/>
          </w:tcPr>
          <w:p w14:paraId="6AECC6E3" w14:textId="77777777" w:rsidR="00221A65" w:rsidRPr="00221A65" w:rsidRDefault="00221A65" w:rsidP="00221A65">
            <w:pPr>
              <w:autoSpaceDE w:val="0"/>
              <w:autoSpaceDN w:val="0"/>
              <w:adjustRightInd w:val="0"/>
            </w:pPr>
          </w:p>
        </w:tc>
        <w:tc>
          <w:tcPr>
            <w:tcW w:w="881" w:type="dxa"/>
            <w:shd w:val="clear" w:color="auto" w:fill="FFFFFF"/>
            <w:vAlign w:val="center"/>
          </w:tcPr>
          <w:p w14:paraId="1896DF7D" w14:textId="77777777" w:rsidR="00221A65" w:rsidRPr="00221A65" w:rsidRDefault="00221A65" w:rsidP="00221A65">
            <w:pPr>
              <w:autoSpaceDE w:val="0"/>
              <w:autoSpaceDN w:val="0"/>
              <w:adjustRightInd w:val="0"/>
            </w:pPr>
          </w:p>
        </w:tc>
      </w:tr>
      <w:tr w:rsidR="00221A65" w:rsidRPr="00221A65" w14:paraId="2965BA73" w14:textId="77777777" w:rsidTr="00221A65">
        <w:trPr>
          <w:cantSplit/>
          <w:trHeight w:val="248"/>
          <w:jc w:val="center"/>
        </w:trPr>
        <w:tc>
          <w:tcPr>
            <w:tcW w:w="623" w:type="dxa"/>
            <w:vMerge/>
            <w:shd w:val="clear" w:color="auto" w:fill="E0E0E0"/>
          </w:tcPr>
          <w:p w14:paraId="33AF4FFF" w14:textId="77777777" w:rsidR="00221A65" w:rsidRPr="00221A65" w:rsidRDefault="00221A65" w:rsidP="00221A65">
            <w:pPr>
              <w:autoSpaceDE w:val="0"/>
              <w:autoSpaceDN w:val="0"/>
              <w:adjustRightInd w:val="0"/>
            </w:pPr>
          </w:p>
        </w:tc>
        <w:tc>
          <w:tcPr>
            <w:tcW w:w="1004" w:type="dxa"/>
            <w:shd w:val="clear" w:color="auto" w:fill="E0E0E0"/>
          </w:tcPr>
          <w:p w14:paraId="679CC712" w14:textId="77777777" w:rsidR="00221A65" w:rsidRPr="00221A65" w:rsidRDefault="00221A65" w:rsidP="00221A65">
            <w:pPr>
              <w:autoSpaceDE w:val="0"/>
              <w:autoSpaceDN w:val="0"/>
              <w:adjustRightInd w:val="0"/>
              <w:ind w:left="60" w:right="60"/>
              <w:rPr>
                <w:color w:val="264A60"/>
                <w:sz w:val="18"/>
                <w:szCs w:val="18"/>
              </w:rPr>
            </w:pPr>
            <w:r w:rsidRPr="00221A65">
              <w:rPr>
                <w:color w:val="264A60"/>
                <w:sz w:val="18"/>
                <w:szCs w:val="18"/>
              </w:rPr>
              <w:t>CR</w:t>
            </w:r>
          </w:p>
        </w:tc>
        <w:tc>
          <w:tcPr>
            <w:tcW w:w="1133" w:type="dxa"/>
            <w:shd w:val="clear" w:color="auto" w:fill="FFFFFF"/>
          </w:tcPr>
          <w:p w14:paraId="048DEACA"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.002</w:t>
            </w:r>
          </w:p>
        </w:tc>
        <w:tc>
          <w:tcPr>
            <w:tcW w:w="1133" w:type="dxa"/>
            <w:shd w:val="clear" w:color="auto" w:fill="FFFFFF"/>
          </w:tcPr>
          <w:p w14:paraId="5374F46A"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.009</w:t>
            </w:r>
          </w:p>
        </w:tc>
        <w:tc>
          <w:tcPr>
            <w:tcW w:w="1249" w:type="dxa"/>
            <w:shd w:val="clear" w:color="auto" w:fill="FFFFFF"/>
          </w:tcPr>
          <w:p w14:paraId="48D166B7"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.021</w:t>
            </w:r>
          </w:p>
        </w:tc>
        <w:tc>
          <w:tcPr>
            <w:tcW w:w="870" w:type="dxa"/>
            <w:shd w:val="clear" w:color="auto" w:fill="FFFFFF"/>
          </w:tcPr>
          <w:p w14:paraId="245E5D03"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.173</w:t>
            </w:r>
          </w:p>
        </w:tc>
        <w:tc>
          <w:tcPr>
            <w:tcW w:w="870" w:type="dxa"/>
            <w:shd w:val="clear" w:color="auto" w:fill="FFFFFF"/>
          </w:tcPr>
          <w:p w14:paraId="53231075"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.863</w:t>
            </w:r>
          </w:p>
        </w:tc>
        <w:tc>
          <w:tcPr>
            <w:tcW w:w="962" w:type="dxa"/>
            <w:shd w:val="clear" w:color="auto" w:fill="FFFFFF"/>
          </w:tcPr>
          <w:p w14:paraId="033B4694"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.690</w:t>
            </w:r>
          </w:p>
        </w:tc>
        <w:tc>
          <w:tcPr>
            <w:tcW w:w="881" w:type="dxa"/>
            <w:shd w:val="clear" w:color="auto" w:fill="FFFFFF"/>
          </w:tcPr>
          <w:p w14:paraId="140F48BA"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1.449</w:t>
            </w:r>
          </w:p>
        </w:tc>
      </w:tr>
      <w:tr w:rsidR="00221A65" w:rsidRPr="00221A65" w14:paraId="62D15A79" w14:textId="77777777" w:rsidTr="00221A65">
        <w:trPr>
          <w:cantSplit/>
          <w:trHeight w:val="248"/>
          <w:jc w:val="center"/>
        </w:trPr>
        <w:tc>
          <w:tcPr>
            <w:tcW w:w="623" w:type="dxa"/>
            <w:vMerge/>
            <w:shd w:val="clear" w:color="auto" w:fill="E0E0E0"/>
          </w:tcPr>
          <w:p w14:paraId="3EAEA512" w14:textId="77777777" w:rsidR="00221A65" w:rsidRPr="00221A65" w:rsidRDefault="00221A65" w:rsidP="00221A65">
            <w:pPr>
              <w:autoSpaceDE w:val="0"/>
              <w:autoSpaceDN w:val="0"/>
              <w:adjustRightInd w:val="0"/>
              <w:rPr>
                <w:color w:val="010205"/>
                <w:sz w:val="18"/>
                <w:szCs w:val="18"/>
              </w:rPr>
            </w:pPr>
          </w:p>
        </w:tc>
        <w:tc>
          <w:tcPr>
            <w:tcW w:w="1004" w:type="dxa"/>
            <w:shd w:val="clear" w:color="auto" w:fill="E0E0E0"/>
          </w:tcPr>
          <w:p w14:paraId="4CFF6E78" w14:textId="77777777" w:rsidR="00221A65" w:rsidRPr="00221A65" w:rsidRDefault="00221A65" w:rsidP="00221A65">
            <w:pPr>
              <w:autoSpaceDE w:val="0"/>
              <w:autoSpaceDN w:val="0"/>
              <w:adjustRightInd w:val="0"/>
              <w:ind w:left="60" w:right="60"/>
              <w:rPr>
                <w:color w:val="264A60"/>
                <w:sz w:val="18"/>
                <w:szCs w:val="18"/>
              </w:rPr>
            </w:pPr>
            <w:r w:rsidRPr="00221A65">
              <w:rPr>
                <w:color w:val="264A60"/>
                <w:sz w:val="18"/>
                <w:szCs w:val="18"/>
              </w:rPr>
              <w:t>DAR</w:t>
            </w:r>
          </w:p>
        </w:tc>
        <w:tc>
          <w:tcPr>
            <w:tcW w:w="1133" w:type="dxa"/>
            <w:shd w:val="clear" w:color="auto" w:fill="FFFFFF"/>
          </w:tcPr>
          <w:p w14:paraId="7E3DBDA4"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-.029</w:t>
            </w:r>
          </w:p>
        </w:tc>
        <w:tc>
          <w:tcPr>
            <w:tcW w:w="1133" w:type="dxa"/>
            <w:shd w:val="clear" w:color="auto" w:fill="FFFFFF"/>
          </w:tcPr>
          <w:p w14:paraId="21A14ACB"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.047</w:t>
            </w:r>
          </w:p>
        </w:tc>
        <w:tc>
          <w:tcPr>
            <w:tcW w:w="1249" w:type="dxa"/>
            <w:shd w:val="clear" w:color="auto" w:fill="FFFFFF"/>
          </w:tcPr>
          <w:p w14:paraId="43BF1E4B"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-.078</w:t>
            </w:r>
          </w:p>
        </w:tc>
        <w:tc>
          <w:tcPr>
            <w:tcW w:w="870" w:type="dxa"/>
            <w:shd w:val="clear" w:color="auto" w:fill="FFFFFF"/>
          </w:tcPr>
          <w:p w14:paraId="15FA0734"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-.625</w:t>
            </w:r>
          </w:p>
        </w:tc>
        <w:tc>
          <w:tcPr>
            <w:tcW w:w="870" w:type="dxa"/>
            <w:shd w:val="clear" w:color="auto" w:fill="FFFFFF"/>
          </w:tcPr>
          <w:p w14:paraId="33F31535"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.533</w:t>
            </w:r>
          </w:p>
        </w:tc>
        <w:tc>
          <w:tcPr>
            <w:tcW w:w="962" w:type="dxa"/>
            <w:shd w:val="clear" w:color="auto" w:fill="FFFFFF"/>
          </w:tcPr>
          <w:p w14:paraId="0F815864"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.660</w:t>
            </w:r>
          </w:p>
        </w:tc>
        <w:tc>
          <w:tcPr>
            <w:tcW w:w="881" w:type="dxa"/>
            <w:shd w:val="clear" w:color="auto" w:fill="FFFFFF"/>
          </w:tcPr>
          <w:p w14:paraId="7028A867"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1.516</w:t>
            </w:r>
          </w:p>
        </w:tc>
      </w:tr>
      <w:tr w:rsidR="00221A65" w:rsidRPr="00221A65" w14:paraId="1F32A19E" w14:textId="77777777" w:rsidTr="00221A65">
        <w:trPr>
          <w:cantSplit/>
          <w:trHeight w:val="248"/>
          <w:jc w:val="center"/>
        </w:trPr>
        <w:tc>
          <w:tcPr>
            <w:tcW w:w="623" w:type="dxa"/>
            <w:vMerge/>
            <w:shd w:val="clear" w:color="auto" w:fill="E0E0E0"/>
          </w:tcPr>
          <w:p w14:paraId="1488B2E5" w14:textId="77777777" w:rsidR="00221A65" w:rsidRPr="00221A65" w:rsidRDefault="00221A65" w:rsidP="00221A65">
            <w:pPr>
              <w:autoSpaceDE w:val="0"/>
              <w:autoSpaceDN w:val="0"/>
              <w:adjustRightInd w:val="0"/>
              <w:rPr>
                <w:color w:val="010205"/>
                <w:sz w:val="18"/>
                <w:szCs w:val="18"/>
              </w:rPr>
            </w:pPr>
          </w:p>
        </w:tc>
        <w:tc>
          <w:tcPr>
            <w:tcW w:w="1004" w:type="dxa"/>
            <w:shd w:val="clear" w:color="auto" w:fill="E0E0E0"/>
          </w:tcPr>
          <w:p w14:paraId="5B43B3FC" w14:textId="77777777" w:rsidR="00221A65" w:rsidRPr="00221A65" w:rsidRDefault="00221A65" w:rsidP="00221A65">
            <w:pPr>
              <w:autoSpaceDE w:val="0"/>
              <w:autoSpaceDN w:val="0"/>
              <w:adjustRightInd w:val="0"/>
              <w:ind w:left="60" w:right="60"/>
              <w:rPr>
                <w:color w:val="264A60"/>
                <w:sz w:val="18"/>
                <w:szCs w:val="18"/>
              </w:rPr>
            </w:pPr>
            <w:r w:rsidRPr="00221A65">
              <w:rPr>
                <w:color w:val="264A60"/>
                <w:sz w:val="18"/>
                <w:szCs w:val="18"/>
              </w:rPr>
              <w:t>TATO</w:t>
            </w:r>
          </w:p>
        </w:tc>
        <w:tc>
          <w:tcPr>
            <w:tcW w:w="1133" w:type="dxa"/>
            <w:shd w:val="clear" w:color="auto" w:fill="FFFFFF"/>
          </w:tcPr>
          <w:p w14:paraId="4F5CBE9C"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-.010</w:t>
            </w:r>
          </w:p>
        </w:tc>
        <w:tc>
          <w:tcPr>
            <w:tcW w:w="1133" w:type="dxa"/>
            <w:shd w:val="clear" w:color="auto" w:fill="FFFFFF"/>
          </w:tcPr>
          <w:p w14:paraId="34094E60"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.015</w:t>
            </w:r>
          </w:p>
        </w:tc>
        <w:tc>
          <w:tcPr>
            <w:tcW w:w="1249" w:type="dxa"/>
            <w:shd w:val="clear" w:color="auto" w:fill="FFFFFF"/>
          </w:tcPr>
          <w:p w14:paraId="64107B56"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-.071</w:t>
            </w:r>
          </w:p>
        </w:tc>
        <w:tc>
          <w:tcPr>
            <w:tcW w:w="870" w:type="dxa"/>
            <w:shd w:val="clear" w:color="auto" w:fill="FFFFFF"/>
          </w:tcPr>
          <w:p w14:paraId="67587080"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-.666</w:t>
            </w:r>
          </w:p>
        </w:tc>
        <w:tc>
          <w:tcPr>
            <w:tcW w:w="870" w:type="dxa"/>
            <w:shd w:val="clear" w:color="auto" w:fill="FFFFFF"/>
          </w:tcPr>
          <w:p w14:paraId="46E0CBAC"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.507</w:t>
            </w:r>
          </w:p>
        </w:tc>
        <w:tc>
          <w:tcPr>
            <w:tcW w:w="962" w:type="dxa"/>
            <w:shd w:val="clear" w:color="auto" w:fill="FFFFFF"/>
          </w:tcPr>
          <w:p w14:paraId="38F251E9"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.913</w:t>
            </w:r>
          </w:p>
        </w:tc>
        <w:tc>
          <w:tcPr>
            <w:tcW w:w="881" w:type="dxa"/>
            <w:shd w:val="clear" w:color="auto" w:fill="FFFFFF"/>
          </w:tcPr>
          <w:p w14:paraId="433D3BF9" w14:textId="77777777" w:rsidR="00221A65" w:rsidRPr="00221A65" w:rsidRDefault="00221A65" w:rsidP="00221A65">
            <w:pPr>
              <w:autoSpaceDE w:val="0"/>
              <w:autoSpaceDN w:val="0"/>
              <w:adjustRightInd w:val="0"/>
              <w:ind w:left="60" w:right="60"/>
              <w:jc w:val="right"/>
              <w:rPr>
                <w:color w:val="010205"/>
                <w:sz w:val="18"/>
                <w:szCs w:val="18"/>
              </w:rPr>
            </w:pPr>
            <w:r w:rsidRPr="00221A65">
              <w:rPr>
                <w:color w:val="010205"/>
                <w:sz w:val="18"/>
                <w:szCs w:val="18"/>
              </w:rPr>
              <w:t>1.095</w:t>
            </w:r>
          </w:p>
        </w:tc>
      </w:tr>
      <w:tr w:rsidR="00221A65" w:rsidRPr="00221A65" w14:paraId="5BF7EF68" w14:textId="77777777" w:rsidTr="00221A65">
        <w:trPr>
          <w:cantSplit/>
          <w:trHeight w:val="236"/>
          <w:jc w:val="center"/>
        </w:trPr>
        <w:tc>
          <w:tcPr>
            <w:tcW w:w="8725" w:type="dxa"/>
            <w:gridSpan w:val="9"/>
            <w:shd w:val="clear" w:color="auto" w:fill="FFFFFF"/>
          </w:tcPr>
          <w:p w14:paraId="746EDBEC" w14:textId="77777777" w:rsidR="00221A65" w:rsidRPr="00221A65" w:rsidRDefault="00221A65" w:rsidP="00221A65">
            <w:pPr>
              <w:autoSpaceDE w:val="0"/>
              <w:autoSpaceDN w:val="0"/>
              <w:adjustRightInd w:val="0"/>
              <w:ind w:left="60" w:right="60"/>
              <w:rPr>
                <w:color w:val="010205"/>
                <w:sz w:val="18"/>
                <w:szCs w:val="18"/>
              </w:rPr>
            </w:pPr>
            <w:r w:rsidRPr="00221A65">
              <w:rPr>
                <w:color w:val="010205"/>
                <w:sz w:val="18"/>
                <w:szCs w:val="18"/>
              </w:rPr>
              <w:t>a. Dependent Variable: Abs_RES</w:t>
            </w:r>
          </w:p>
        </w:tc>
      </w:tr>
    </w:tbl>
    <w:p w14:paraId="51A86097" w14:textId="6F8BA2F8" w:rsidR="00221A65" w:rsidRPr="00221A65" w:rsidRDefault="00221A65" w:rsidP="00221A65">
      <w:pPr>
        <w:autoSpaceDE w:val="0"/>
        <w:autoSpaceDN w:val="0"/>
        <w:adjustRightInd w:val="0"/>
        <w:ind w:left="270"/>
        <w:jc w:val="center"/>
        <w:rPr>
          <w:i/>
          <w:iCs/>
        </w:rPr>
      </w:pPr>
      <w:r w:rsidRPr="00221A65">
        <w:rPr>
          <w:i/>
          <w:iCs/>
        </w:rPr>
        <w:t>Sumber: Hasil Pengolahan Data dengan SPSS Ver. 25 (202</w:t>
      </w:r>
      <w:r w:rsidRPr="00221A65">
        <w:rPr>
          <w:i/>
          <w:iCs/>
          <w:lang w:val="en-US"/>
        </w:rPr>
        <w:t>3</w:t>
      </w:r>
      <w:r w:rsidRPr="00221A65">
        <w:rPr>
          <w:i/>
          <w:iCs/>
        </w:rPr>
        <w:t>)</w:t>
      </w:r>
    </w:p>
    <w:p w14:paraId="16CD748E" w14:textId="77777777" w:rsidR="006A64A5" w:rsidRDefault="006A64A5" w:rsidP="006A64A5">
      <w:pPr>
        <w:ind w:left="180"/>
        <w:jc w:val="both"/>
      </w:pPr>
    </w:p>
    <w:p w14:paraId="25762315" w14:textId="1F85830F" w:rsidR="006A64A5" w:rsidRDefault="00221A65" w:rsidP="00221A65">
      <w:pPr>
        <w:ind w:left="180"/>
        <w:jc w:val="both"/>
      </w:pPr>
      <w:r>
        <w:t>Hasil uji Glejser pada Tabel 4.</w:t>
      </w:r>
      <w:r w:rsidR="005B73B8">
        <w:rPr>
          <w:lang w:val="en-US"/>
        </w:rPr>
        <w:t>4,</w:t>
      </w:r>
      <w:r>
        <w:t xml:space="preserve"> menunjukkan beberapa temuan penting, yaitu:</w:t>
      </w:r>
      <w:r>
        <w:rPr>
          <w:lang w:val="en-US"/>
        </w:rPr>
        <w:t xml:space="preserve"> </w:t>
      </w:r>
      <w:r>
        <w:t>Pertama, variabel Current Ratio (X1) menunjukkan bahwa nilai signifikan sebesar 0.863, yang lebih besar dari 0.05. Hal ini mengindikasikan bahwa variabel Current Ratio (X1) terbebas dari gejala heteroskedastisitas.</w:t>
      </w:r>
      <w:r>
        <w:rPr>
          <w:lang w:val="en-US"/>
        </w:rPr>
        <w:t xml:space="preserve"> </w:t>
      </w:r>
      <w:r>
        <w:t>Kedua, variabel Debt to Asset Ratio (X2) menunjukkan nilai signifikan sebesar 0.533, yang juga lebih besar dari 0.05. Oleh karena itu, variabel Debt to Asset Ratio (X2) terbebas dari gejala heteroskedastisitas.</w:t>
      </w:r>
      <w:r>
        <w:rPr>
          <w:lang w:val="en-US"/>
        </w:rPr>
        <w:t xml:space="preserve"> </w:t>
      </w:r>
      <w:r>
        <w:t>Ketiga, variabel Total Asset Turn Over (X3) menunjukkan nilai signifikan sebesar 0.507, yang lebih besar dari 0.05. Ini menandakan bahwa variabel Total Asset Turn Over (X3) juga terbebas dari gejala heteroskedastisitas.</w:t>
      </w:r>
      <w:r>
        <w:rPr>
          <w:lang w:val="en-US"/>
        </w:rPr>
        <w:t xml:space="preserve"> </w:t>
      </w:r>
      <w:r>
        <w:t>Dengan demikian, kesimpulan dari hasil uji Glejser adalah bahwa seluruh variabel bebas yang digunakan dalam penelitian ini tidak menunjukkan gejala heteroskedastisitas.</w:t>
      </w:r>
    </w:p>
    <w:p w14:paraId="09592535" w14:textId="77777777" w:rsidR="006A64A5" w:rsidRDefault="006A64A5" w:rsidP="006A64A5">
      <w:pPr>
        <w:ind w:left="180"/>
        <w:jc w:val="both"/>
      </w:pPr>
    </w:p>
    <w:p w14:paraId="44F6311B" w14:textId="5BEB25D3" w:rsidR="006A64A5" w:rsidRDefault="007B077A" w:rsidP="006A64A5">
      <w:pPr>
        <w:ind w:left="180"/>
        <w:jc w:val="both"/>
      </w:pPr>
      <w:r w:rsidRPr="007B077A">
        <w:rPr>
          <w:b/>
          <w:bCs/>
        </w:rPr>
        <w:t>Uji Autokorelasi</w:t>
      </w:r>
    </w:p>
    <w:p w14:paraId="784FB2AE" w14:textId="77777777" w:rsidR="007B077A" w:rsidRPr="007B077A" w:rsidRDefault="007B077A" w:rsidP="006A64A5">
      <w:pPr>
        <w:ind w:left="180"/>
        <w:jc w:val="both"/>
      </w:pPr>
    </w:p>
    <w:p w14:paraId="083A390C" w14:textId="77777777" w:rsidR="00BA168D" w:rsidRPr="00BA168D" w:rsidRDefault="00BA168D" w:rsidP="00BA168D">
      <w:pPr>
        <w:spacing w:line="480" w:lineRule="auto"/>
        <w:ind w:left="180"/>
        <w:jc w:val="both"/>
        <w:rPr>
          <w:lang w:val="en-US"/>
        </w:rPr>
      </w:pPr>
      <w:r w:rsidRPr="00BA168D">
        <w:rPr>
          <w:lang w:val="en-US"/>
        </w:rPr>
        <w:t xml:space="preserve">Nilai Durbin Watson hasil uji autokorelasi pada penelitian ini dapat dilihat pada tabel berikut: </w:t>
      </w:r>
    </w:p>
    <w:p w14:paraId="0DFD1417" w14:textId="747B879A" w:rsidR="00BA168D" w:rsidRPr="00BA168D" w:rsidRDefault="00BA168D" w:rsidP="00BA168D">
      <w:pPr>
        <w:pStyle w:val="ListParagraph"/>
        <w:spacing w:after="0" w:line="240" w:lineRule="auto"/>
        <w:ind w:left="180"/>
        <w:jc w:val="center"/>
        <w:rPr>
          <w:rFonts w:ascii="Times New Roman" w:hAnsi="Times New Roman" w:cs="Times New Roman"/>
          <w:b/>
          <w:bCs/>
          <w:sz w:val="24"/>
          <w:szCs w:val="24"/>
          <w:lang w:val="en-US"/>
        </w:rPr>
      </w:pPr>
      <w:r w:rsidRPr="00BA168D">
        <w:rPr>
          <w:rFonts w:ascii="Times New Roman" w:hAnsi="Times New Roman" w:cs="Times New Roman"/>
          <w:b/>
          <w:bCs/>
          <w:sz w:val="24"/>
          <w:szCs w:val="24"/>
          <w:lang w:val="en-US"/>
        </w:rPr>
        <w:t>Tabel 4.</w:t>
      </w:r>
      <w:r w:rsidRPr="00BA168D">
        <w:rPr>
          <w:rFonts w:ascii="Times New Roman" w:hAnsi="Times New Roman" w:cs="Times New Roman"/>
          <w:b/>
          <w:bCs/>
          <w:sz w:val="24"/>
          <w:szCs w:val="24"/>
          <w:lang w:val="en-US"/>
        </w:rPr>
        <w:t xml:space="preserve">5, </w:t>
      </w:r>
      <w:r w:rsidRPr="00BA168D">
        <w:rPr>
          <w:rFonts w:ascii="Times New Roman" w:hAnsi="Times New Roman" w:cs="Times New Roman"/>
          <w:b/>
          <w:bCs/>
          <w:sz w:val="24"/>
          <w:szCs w:val="24"/>
          <w:lang w:val="en-US"/>
        </w:rPr>
        <w:t>Hasil Uji Autokorelasi</w:t>
      </w:r>
    </w:p>
    <w:p w14:paraId="3B3AA601" w14:textId="77777777" w:rsidR="00BA168D" w:rsidRPr="00BA168D" w:rsidRDefault="00BA168D" w:rsidP="00BA168D">
      <w:pPr>
        <w:pStyle w:val="ListParagraph"/>
        <w:spacing w:after="0" w:line="240" w:lineRule="auto"/>
        <w:ind w:left="180"/>
        <w:jc w:val="center"/>
        <w:rPr>
          <w:rFonts w:ascii="Times New Roman" w:hAnsi="Times New Roman" w:cs="Times New Roman"/>
          <w:b/>
          <w:bCs/>
          <w:sz w:val="24"/>
          <w:szCs w:val="24"/>
          <w:lang w:val="en-US"/>
        </w:rPr>
      </w:pPr>
    </w:p>
    <w:tbl>
      <w:tblPr>
        <w:tblW w:w="734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BA168D" w:rsidRPr="00BA168D" w14:paraId="168A1940" w14:textId="77777777" w:rsidTr="005B345A">
        <w:trPr>
          <w:cantSplit/>
        </w:trPr>
        <w:tc>
          <w:tcPr>
            <w:tcW w:w="7348" w:type="dxa"/>
            <w:gridSpan w:val="6"/>
            <w:shd w:val="clear" w:color="auto" w:fill="FFFFFF"/>
            <w:vAlign w:val="center"/>
          </w:tcPr>
          <w:p w14:paraId="17F7BFE9" w14:textId="77777777" w:rsidR="00BA168D" w:rsidRPr="00BA168D" w:rsidRDefault="00BA168D" w:rsidP="00BA168D">
            <w:pPr>
              <w:autoSpaceDE w:val="0"/>
              <w:autoSpaceDN w:val="0"/>
              <w:adjustRightInd w:val="0"/>
              <w:ind w:left="60" w:right="60"/>
              <w:jc w:val="center"/>
              <w:rPr>
                <w:color w:val="010205"/>
              </w:rPr>
            </w:pPr>
            <w:r w:rsidRPr="00BA168D">
              <w:rPr>
                <w:b/>
                <w:bCs/>
                <w:color w:val="010205"/>
              </w:rPr>
              <w:t>Model Summary</w:t>
            </w:r>
            <w:r w:rsidRPr="00BA168D">
              <w:rPr>
                <w:b/>
                <w:bCs/>
                <w:color w:val="010205"/>
                <w:vertAlign w:val="superscript"/>
              </w:rPr>
              <w:t>b</w:t>
            </w:r>
          </w:p>
        </w:tc>
      </w:tr>
      <w:tr w:rsidR="00BA168D" w:rsidRPr="00BA168D" w14:paraId="39D25730" w14:textId="77777777" w:rsidTr="005B345A">
        <w:trPr>
          <w:cantSplit/>
        </w:trPr>
        <w:tc>
          <w:tcPr>
            <w:tcW w:w="798" w:type="dxa"/>
            <w:shd w:val="clear" w:color="auto" w:fill="FFFFFF"/>
            <w:vAlign w:val="bottom"/>
          </w:tcPr>
          <w:p w14:paraId="4AF76A4A" w14:textId="77777777" w:rsidR="00BA168D" w:rsidRPr="00BA168D" w:rsidRDefault="00BA168D" w:rsidP="00BA168D">
            <w:pPr>
              <w:autoSpaceDE w:val="0"/>
              <w:autoSpaceDN w:val="0"/>
              <w:adjustRightInd w:val="0"/>
              <w:ind w:left="60" w:right="60"/>
              <w:rPr>
                <w:color w:val="264A60"/>
                <w:sz w:val="18"/>
                <w:szCs w:val="18"/>
              </w:rPr>
            </w:pPr>
            <w:r w:rsidRPr="00BA168D">
              <w:rPr>
                <w:color w:val="264A60"/>
                <w:sz w:val="18"/>
                <w:szCs w:val="18"/>
              </w:rPr>
              <w:t>Model</w:t>
            </w:r>
          </w:p>
        </w:tc>
        <w:tc>
          <w:tcPr>
            <w:tcW w:w="1030" w:type="dxa"/>
            <w:shd w:val="clear" w:color="auto" w:fill="FFFFFF"/>
            <w:vAlign w:val="bottom"/>
          </w:tcPr>
          <w:p w14:paraId="10B58203" w14:textId="77777777" w:rsidR="00BA168D" w:rsidRPr="00BA168D" w:rsidRDefault="00BA168D" w:rsidP="00BA168D">
            <w:pPr>
              <w:autoSpaceDE w:val="0"/>
              <w:autoSpaceDN w:val="0"/>
              <w:adjustRightInd w:val="0"/>
              <w:ind w:left="60" w:right="60"/>
              <w:jc w:val="center"/>
              <w:rPr>
                <w:color w:val="264A60"/>
                <w:sz w:val="18"/>
                <w:szCs w:val="18"/>
              </w:rPr>
            </w:pPr>
            <w:r w:rsidRPr="00BA168D">
              <w:rPr>
                <w:color w:val="264A60"/>
                <w:sz w:val="18"/>
                <w:szCs w:val="18"/>
              </w:rPr>
              <w:t>R</w:t>
            </w:r>
          </w:p>
        </w:tc>
        <w:tc>
          <w:tcPr>
            <w:tcW w:w="1092" w:type="dxa"/>
            <w:shd w:val="clear" w:color="auto" w:fill="FFFFFF"/>
            <w:vAlign w:val="bottom"/>
          </w:tcPr>
          <w:p w14:paraId="1E495A80" w14:textId="77777777" w:rsidR="00BA168D" w:rsidRPr="00BA168D" w:rsidRDefault="00BA168D" w:rsidP="00BA168D">
            <w:pPr>
              <w:autoSpaceDE w:val="0"/>
              <w:autoSpaceDN w:val="0"/>
              <w:adjustRightInd w:val="0"/>
              <w:ind w:left="60" w:right="60"/>
              <w:jc w:val="center"/>
              <w:rPr>
                <w:color w:val="264A60"/>
                <w:sz w:val="18"/>
                <w:szCs w:val="18"/>
              </w:rPr>
            </w:pPr>
            <w:r w:rsidRPr="00BA168D">
              <w:rPr>
                <w:color w:val="264A60"/>
                <w:sz w:val="18"/>
                <w:szCs w:val="18"/>
              </w:rPr>
              <w:t>R Square</w:t>
            </w:r>
          </w:p>
        </w:tc>
        <w:tc>
          <w:tcPr>
            <w:tcW w:w="1476" w:type="dxa"/>
            <w:shd w:val="clear" w:color="auto" w:fill="FFFFFF"/>
            <w:vAlign w:val="bottom"/>
          </w:tcPr>
          <w:p w14:paraId="7F2196D2" w14:textId="77777777" w:rsidR="00BA168D" w:rsidRPr="00BA168D" w:rsidRDefault="00BA168D" w:rsidP="00BA168D">
            <w:pPr>
              <w:autoSpaceDE w:val="0"/>
              <w:autoSpaceDN w:val="0"/>
              <w:adjustRightInd w:val="0"/>
              <w:ind w:left="60" w:right="60"/>
              <w:jc w:val="center"/>
              <w:rPr>
                <w:color w:val="264A60"/>
                <w:sz w:val="18"/>
                <w:szCs w:val="18"/>
              </w:rPr>
            </w:pPr>
            <w:r w:rsidRPr="00BA168D">
              <w:rPr>
                <w:color w:val="264A60"/>
                <w:sz w:val="18"/>
                <w:szCs w:val="18"/>
              </w:rPr>
              <w:t>Adjusted R Square</w:t>
            </w:r>
          </w:p>
        </w:tc>
        <w:tc>
          <w:tcPr>
            <w:tcW w:w="1476" w:type="dxa"/>
            <w:shd w:val="clear" w:color="auto" w:fill="FFFFFF"/>
            <w:vAlign w:val="bottom"/>
          </w:tcPr>
          <w:p w14:paraId="46A3EA94" w14:textId="77777777" w:rsidR="00BA168D" w:rsidRPr="00BA168D" w:rsidRDefault="00BA168D" w:rsidP="00BA168D">
            <w:pPr>
              <w:autoSpaceDE w:val="0"/>
              <w:autoSpaceDN w:val="0"/>
              <w:adjustRightInd w:val="0"/>
              <w:ind w:left="60" w:right="60"/>
              <w:jc w:val="center"/>
              <w:rPr>
                <w:color w:val="264A60"/>
                <w:sz w:val="18"/>
                <w:szCs w:val="18"/>
              </w:rPr>
            </w:pPr>
            <w:r w:rsidRPr="00BA168D">
              <w:rPr>
                <w:color w:val="264A60"/>
                <w:sz w:val="18"/>
                <w:szCs w:val="18"/>
              </w:rPr>
              <w:t>Std. Error of the Estimate</w:t>
            </w:r>
          </w:p>
        </w:tc>
        <w:tc>
          <w:tcPr>
            <w:tcW w:w="1476" w:type="dxa"/>
            <w:shd w:val="clear" w:color="auto" w:fill="FFFFFF"/>
            <w:vAlign w:val="bottom"/>
          </w:tcPr>
          <w:p w14:paraId="196B0603" w14:textId="77777777" w:rsidR="00BA168D" w:rsidRPr="00BA168D" w:rsidRDefault="00BA168D" w:rsidP="00BA168D">
            <w:pPr>
              <w:autoSpaceDE w:val="0"/>
              <w:autoSpaceDN w:val="0"/>
              <w:adjustRightInd w:val="0"/>
              <w:ind w:left="60" w:right="60"/>
              <w:jc w:val="center"/>
              <w:rPr>
                <w:color w:val="264A60"/>
                <w:sz w:val="18"/>
                <w:szCs w:val="18"/>
              </w:rPr>
            </w:pPr>
            <w:r w:rsidRPr="00BA168D">
              <w:rPr>
                <w:color w:val="264A60"/>
                <w:sz w:val="18"/>
                <w:szCs w:val="18"/>
              </w:rPr>
              <w:t>Durbin-Watson</w:t>
            </w:r>
          </w:p>
        </w:tc>
      </w:tr>
      <w:tr w:rsidR="00BA168D" w:rsidRPr="00BA168D" w14:paraId="44EE809C" w14:textId="77777777" w:rsidTr="005B345A">
        <w:trPr>
          <w:cantSplit/>
        </w:trPr>
        <w:tc>
          <w:tcPr>
            <w:tcW w:w="798" w:type="dxa"/>
            <w:shd w:val="clear" w:color="auto" w:fill="E0E0E0"/>
          </w:tcPr>
          <w:p w14:paraId="5567ABD2" w14:textId="77777777" w:rsidR="00BA168D" w:rsidRPr="00BA168D" w:rsidRDefault="00BA168D" w:rsidP="00BA168D">
            <w:pPr>
              <w:autoSpaceDE w:val="0"/>
              <w:autoSpaceDN w:val="0"/>
              <w:adjustRightInd w:val="0"/>
              <w:ind w:left="60" w:right="60"/>
              <w:rPr>
                <w:color w:val="264A60"/>
                <w:sz w:val="18"/>
                <w:szCs w:val="18"/>
              </w:rPr>
            </w:pPr>
            <w:r w:rsidRPr="00BA168D">
              <w:rPr>
                <w:color w:val="264A60"/>
                <w:sz w:val="18"/>
                <w:szCs w:val="18"/>
              </w:rPr>
              <w:t>1</w:t>
            </w:r>
          </w:p>
        </w:tc>
        <w:tc>
          <w:tcPr>
            <w:tcW w:w="1030" w:type="dxa"/>
            <w:shd w:val="clear" w:color="auto" w:fill="FFFFFF"/>
          </w:tcPr>
          <w:p w14:paraId="053779E6" w14:textId="77777777" w:rsidR="00BA168D" w:rsidRPr="00BA168D" w:rsidRDefault="00BA168D" w:rsidP="00BA168D">
            <w:pPr>
              <w:autoSpaceDE w:val="0"/>
              <w:autoSpaceDN w:val="0"/>
              <w:adjustRightInd w:val="0"/>
              <w:ind w:left="60" w:right="60"/>
              <w:jc w:val="right"/>
              <w:rPr>
                <w:color w:val="010205"/>
                <w:sz w:val="18"/>
                <w:szCs w:val="18"/>
              </w:rPr>
            </w:pPr>
            <w:r w:rsidRPr="00BA168D">
              <w:rPr>
                <w:color w:val="010205"/>
                <w:sz w:val="18"/>
                <w:szCs w:val="18"/>
              </w:rPr>
              <w:t>.362</w:t>
            </w:r>
            <w:r w:rsidRPr="00BA168D">
              <w:rPr>
                <w:color w:val="010205"/>
                <w:sz w:val="18"/>
                <w:szCs w:val="18"/>
                <w:vertAlign w:val="superscript"/>
              </w:rPr>
              <w:t>a</w:t>
            </w:r>
          </w:p>
        </w:tc>
        <w:tc>
          <w:tcPr>
            <w:tcW w:w="1092" w:type="dxa"/>
            <w:shd w:val="clear" w:color="auto" w:fill="FFFFFF"/>
          </w:tcPr>
          <w:p w14:paraId="3C4C2188" w14:textId="77777777" w:rsidR="00BA168D" w:rsidRPr="00BA168D" w:rsidRDefault="00BA168D" w:rsidP="00BA168D">
            <w:pPr>
              <w:autoSpaceDE w:val="0"/>
              <w:autoSpaceDN w:val="0"/>
              <w:adjustRightInd w:val="0"/>
              <w:ind w:left="60" w:right="60"/>
              <w:jc w:val="right"/>
              <w:rPr>
                <w:color w:val="010205"/>
                <w:sz w:val="18"/>
                <w:szCs w:val="18"/>
              </w:rPr>
            </w:pPr>
            <w:r w:rsidRPr="00BA168D">
              <w:rPr>
                <w:color w:val="010205"/>
                <w:sz w:val="18"/>
                <w:szCs w:val="18"/>
              </w:rPr>
              <w:t>.131</w:t>
            </w:r>
          </w:p>
        </w:tc>
        <w:tc>
          <w:tcPr>
            <w:tcW w:w="1476" w:type="dxa"/>
            <w:shd w:val="clear" w:color="auto" w:fill="FFFFFF"/>
          </w:tcPr>
          <w:p w14:paraId="4FAF21FE" w14:textId="77777777" w:rsidR="00BA168D" w:rsidRPr="00BA168D" w:rsidRDefault="00BA168D" w:rsidP="00BA168D">
            <w:pPr>
              <w:autoSpaceDE w:val="0"/>
              <w:autoSpaceDN w:val="0"/>
              <w:adjustRightInd w:val="0"/>
              <w:ind w:left="60" w:right="60"/>
              <w:jc w:val="right"/>
              <w:rPr>
                <w:color w:val="010205"/>
                <w:sz w:val="18"/>
                <w:szCs w:val="18"/>
              </w:rPr>
            </w:pPr>
            <w:r w:rsidRPr="00BA168D">
              <w:rPr>
                <w:color w:val="010205"/>
                <w:sz w:val="18"/>
                <w:szCs w:val="18"/>
              </w:rPr>
              <w:t>.104</w:t>
            </w:r>
          </w:p>
        </w:tc>
        <w:tc>
          <w:tcPr>
            <w:tcW w:w="1476" w:type="dxa"/>
            <w:shd w:val="clear" w:color="auto" w:fill="FFFFFF"/>
          </w:tcPr>
          <w:p w14:paraId="0CB7E0F9" w14:textId="77777777" w:rsidR="00BA168D" w:rsidRPr="00BA168D" w:rsidRDefault="00BA168D" w:rsidP="00BA168D">
            <w:pPr>
              <w:autoSpaceDE w:val="0"/>
              <w:autoSpaceDN w:val="0"/>
              <w:adjustRightInd w:val="0"/>
              <w:ind w:left="60" w:right="60"/>
              <w:jc w:val="right"/>
              <w:rPr>
                <w:color w:val="010205"/>
                <w:sz w:val="18"/>
                <w:szCs w:val="18"/>
              </w:rPr>
            </w:pPr>
            <w:r w:rsidRPr="00BA168D">
              <w:rPr>
                <w:color w:val="010205"/>
                <w:sz w:val="18"/>
                <w:szCs w:val="18"/>
              </w:rPr>
              <w:t>.08600</w:t>
            </w:r>
          </w:p>
        </w:tc>
        <w:tc>
          <w:tcPr>
            <w:tcW w:w="1476" w:type="dxa"/>
            <w:shd w:val="clear" w:color="auto" w:fill="FFFFFF"/>
          </w:tcPr>
          <w:p w14:paraId="053E5FD1" w14:textId="77777777" w:rsidR="00BA168D" w:rsidRPr="00BA168D" w:rsidRDefault="00BA168D" w:rsidP="00BA168D">
            <w:pPr>
              <w:autoSpaceDE w:val="0"/>
              <w:autoSpaceDN w:val="0"/>
              <w:adjustRightInd w:val="0"/>
              <w:ind w:left="60" w:right="60"/>
              <w:jc w:val="right"/>
              <w:rPr>
                <w:color w:val="010205"/>
                <w:sz w:val="18"/>
                <w:szCs w:val="18"/>
              </w:rPr>
            </w:pPr>
            <w:r w:rsidRPr="00BA168D">
              <w:rPr>
                <w:color w:val="010205"/>
                <w:sz w:val="18"/>
                <w:szCs w:val="18"/>
              </w:rPr>
              <w:t>2.017</w:t>
            </w:r>
          </w:p>
        </w:tc>
      </w:tr>
      <w:tr w:rsidR="00BA168D" w:rsidRPr="00BA168D" w14:paraId="0B0FAC1F" w14:textId="77777777" w:rsidTr="005B345A">
        <w:trPr>
          <w:cantSplit/>
        </w:trPr>
        <w:tc>
          <w:tcPr>
            <w:tcW w:w="7348" w:type="dxa"/>
            <w:gridSpan w:val="6"/>
            <w:shd w:val="clear" w:color="auto" w:fill="FFFFFF"/>
          </w:tcPr>
          <w:p w14:paraId="0CC8B68B" w14:textId="77777777" w:rsidR="00BA168D" w:rsidRPr="00BA168D" w:rsidRDefault="00BA168D" w:rsidP="00BA168D">
            <w:pPr>
              <w:autoSpaceDE w:val="0"/>
              <w:autoSpaceDN w:val="0"/>
              <w:adjustRightInd w:val="0"/>
              <w:ind w:left="60" w:right="60"/>
              <w:rPr>
                <w:color w:val="010205"/>
                <w:sz w:val="18"/>
                <w:szCs w:val="18"/>
              </w:rPr>
            </w:pPr>
            <w:r w:rsidRPr="00BA168D">
              <w:rPr>
                <w:color w:val="010205"/>
                <w:sz w:val="18"/>
                <w:szCs w:val="18"/>
              </w:rPr>
              <w:t>a. Predictors: (Constant), TATO, CR, DAR</w:t>
            </w:r>
          </w:p>
        </w:tc>
      </w:tr>
      <w:tr w:rsidR="00BA168D" w:rsidRPr="00BA168D" w14:paraId="16FB9D6A" w14:textId="77777777" w:rsidTr="005B345A">
        <w:trPr>
          <w:cantSplit/>
        </w:trPr>
        <w:tc>
          <w:tcPr>
            <w:tcW w:w="7348" w:type="dxa"/>
            <w:gridSpan w:val="6"/>
            <w:shd w:val="clear" w:color="auto" w:fill="FFFFFF"/>
          </w:tcPr>
          <w:p w14:paraId="734AC885" w14:textId="77777777" w:rsidR="00BA168D" w:rsidRPr="00BA168D" w:rsidRDefault="00BA168D" w:rsidP="00BA168D">
            <w:pPr>
              <w:autoSpaceDE w:val="0"/>
              <w:autoSpaceDN w:val="0"/>
              <w:adjustRightInd w:val="0"/>
              <w:ind w:left="60" w:right="60"/>
              <w:rPr>
                <w:color w:val="010205"/>
                <w:sz w:val="18"/>
                <w:szCs w:val="18"/>
              </w:rPr>
            </w:pPr>
            <w:r w:rsidRPr="00BA168D">
              <w:rPr>
                <w:color w:val="010205"/>
                <w:sz w:val="18"/>
                <w:szCs w:val="18"/>
              </w:rPr>
              <w:t>b. Dependent Variable: NPM</w:t>
            </w:r>
          </w:p>
        </w:tc>
      </w:tr>
    </w:tbl>
    <w:p w14:paraId="4DD2B22A" w14:textId="17B233B9" w:rsidR="00BA168D" w:rsidRPr="00BA168D" w:rsidRDefault="00BA168D" w:rsidP="00BA168D">
      <w:pPr>
        <w:autoSpaceDE w:val="0"/>
        <w:autoSpaceDN w:val="0"/>
        <w:adjustRightInd w:val="0"/>
        <w:ind w:left="180"/>
        <w:jc w:val="center"/>
        <w:rPr>
          <w:i/>
          <w:iCs/>
        </w:rPr>
      </w:pPr>
      <w:r w:rsidRPr="00BA168D">
        <w:rPr>
          <w:i/>
          <w:iCs/>
        </w:rPr>
        <w:t>Sumber: Hasil Pengolahan Data dengan SPSS Ver. 25 (202</w:t>
      </w:r>
      <w:r w:rsidRPr="00BA168D">
        <w:rPr>
          <w:i/>
          <w:iCs/>
          <w:lang w:val="en-US"/>
        </w:rPr>
        <w:t>3</w:t>
      </w:r>
      <w:r w:rsidRPr="00BA168D">
        <w:rPr>
          <w:i/>
          <w:iCs/>
        </w:rPr>
        <w:t>)</w:t>
      </w:r>
    </w:p>
    <w:p w14:paraId="675BEC03" w14:textId="77777777" w:rsidR="006A64A5" w:rsidRDefault="006A64A5" w:rsidP="006A64A5">
      <w:pPr>
        <w:ind w:left="180"/>
        <w:jc w:val="both"/>
      </w:pPr>
    </w:p>
    <w:p w14:paraId="027B8FB4" w14:textId="38B3E3E2" w:rsidR="006A64A5" w:rsidRDefault="00BA168D" w:rsidP="00BA168D">
      <w:pPr>
        <w:ind w:left="180"/>
        <w:jc w:val="both"/>
      </w:pPr>
      <w:r>
        <w:t>Dari hasil uji autokorelasi pada Tabel 4.5, dapat diidentifikasi nilai Durbin Watson sebesar 2.017. Dalam konteks ini, dengan jumlah variabel bebas (k) sebanyak 3 dan jumlah data pengujian (n) sebanyak 100, dapat merujuk pada tabel Durbin Watson yang memberikan nilai dl = 1.613 dan du = 1.736.</w:t>
      </w:r>
      <w:r>
        <w:rPr>
          <w:lang w:val="en-US"/>
        </w:rPr>
        <w:t xml:space="preserve"> </w:t>
      </w:r>
      <w:r>
        <w:t>Lebih lanjut, nilai 4 – dl dihitung sebagai 2.387, dan nilai 4 – du dihitung sebagai 2.264. Dengan menerapkan kriteria pengambilan keputusan, ditemukan bahwa 1.736 &lt; 2.017 &lt; 2.264. Hal ini menunjukkan bahwa hasil penelitian memenuhi kriteria du &lt; d &lt; 4 – du.</w:t>
      </w:r>
      <w:r>
        <w:rPr>
          <w:lang w:val="en-US"/>
        </w:rPr>
        <w:t xml:space="preserve"> </w:t>
      </w:r>
      <w:r>
        <w:t>Berdasarkan analisis tersebut, dapat disimpulkan bahwa penelitian ini tidak menunjukkan adanya autokorelasi positif maupun negatif terhadap model regresi yang digunakan.</w:t>
      </w:r>
    </w:p>
    <w:p w14:paraId="38CCD84A" w14:textId="77777777" w:rsidR="006A64A5" w:rsidRDefault="006A64A5" w:rsidP="006A64A5">
      <w:pPr>
        <w:ind w:left="180"/>
        <w:jc w:val="both"/>
      </w:pPr>
    </w:p>
    <w:p w14:paraId="499BAED5" w14:textId="77777777" w:rsidR="005B73B8" w:rsidRDefault="005B73B8" w:rsidP="006A64A5">
      <w:pPr>
        <w:ind w:left="180"/>
        <w:jc w:val="both"/>
      </w:pPr>
    </w:p>
    <w:p w14:paraId="2DC3D3F2" w14:textId="77777777" w:rsidR="005B73B8" w:rsidRDefault="005B73B8" w:rsidP="006A64A5">
      <w:pPr>
        <w:ind w:left="180"/>
        <w:jc w:val="both"/>
      </w:pPr>
    </w:p>
    <w:p w14:paraId="33C2FE34" w14:textId="77777777" w:rsidR="005B73B8" w:rsidRDefault="005B73B8" w:rsidP="006A64A5">
      <w:pPr>
        <w:ind w:left="180"/>
        <w:jc w:val="both"/>
      </w:pPr>
    </w:p>
    <w:p w14:paraId="199AC7E8" w14:textId="77777777" w:rsidR="005B73B8" w:rsidRDefault="005B73B8" w:rsidP="006A64A5">
      <w:pPr>
        <w:ind w:left="180"/>
        <w:jc w:val="both"/>
      </w:pPr>
    </w:p>
    <w:p w14:paraId="6212C0A9" w14:textId="77777777" w:rsidR="005B73B8" w:rsidRDefault="005B73B8" w:rsidP="006A64A5">
      <w:pPr>
        <w:ind w:left="180"/>
        <w:jc w:val="both"/>
      </w:pPr>
    </w:p>
    <w:p w14:paraId="3DF5079F" w14:textId="77777777" w:rsidR="005B73B8" w:rsidRDefault="005B73B8" w:rsidP="006A64A5">
      <w:pPr>
        <w:ind w:left="180"/>
        <w:jc w:val="both"/>
      </w:pPr>
    </w:p>
    <w:p w14:paraId="7B38C4DA" w14:textId="00820429" w:rsidR="006A64A5" w:rsidRDefault="005B73B8" w:rsidP="006A64A5">
      <w:pPr>
        <w:ind w:left="180"/>
        <w:jc w:val="both"/>
        <w:rPr>
          <w:b/>
          <w:bCs/>
        </w:rPr>
      </w:pPr>
      <w:r w:rsidRPr="005B73B8">
        <w:rPr>
          <w:b/>
          <w:bCs/>
        </w:rPr>
        <w:t>Uji Hipotesis</w:t>
      </w:r>
    </w:p>
    <w:p w14:paraId="4188D89A" w14:textId="6C264AE6" w:rsidR="005B73B8" w:rsidRPr="005B73B8" w:rsidRDefault="005B73B8" w:rsidP="006A64A5">
      <w:pPr>
        <w:ind w:left="180"/>
        <w:jc w:val="both"/>
      </w:pPr>
      <w:r w:rsidRPr="005B73B8">
        <w:t>Pengujian hipotesis dalam penelitian ini terfokus pada dua aspek utama. Pertama, evaluasi dampak individual dari Current Ratio (CR) terhadap Net Profit Margin (NPM), Debt to Asset Ratio (DER) terhadap Net Profit Margin (NPM), dan Total Asset Turn Over (TATO) terhadap Net Profit Margin (NPM). Kedua, penelitian juga mempertimbangkan dampak simultan yang mungkin terjadi dari ketiga variabel tersebut, yaitu Current Ratio (CR), Debt to Asset Ratio (DER), dan Total Asset Turn Over (TATO) terhadap Net Profit Margin (NPM).</w:t>
      </w:r>
    </w:p>
    <w:p w14:paraId="1BD8EC84" w14:textId="77777777" w:rsidR="005B73B8" w:rsidRPr="005B73B8" w:rsidRDefault="005B73B8" w:rsidP="006A64A5">
      <w:pPr>
        <w:ind w:left="180"/>
        <w:jc w:val="both"/>
        <w:rPr>
          <w:b/>
          <w:bCs/>
        </w:rPr>
      </w:pPr>
    </w:p>
    <w:p w14:paraId="0950AF0C" w14:textId="77777777" w:rsidR="005B73B8" w:rsidRPr="006E1B82" w:rsidRDefault="005B73B8" w:rsidP="005B73B8">
      <w:pPr>
        <w:ind w:left="180"/>
        <w:jc w:val="center"/>
        <w:rPr>
          <w:b/>
          <w:bCs/>
          <w:lang w:val="en-US"/>
        </w:rPr>
      </w:pPr>
      <w:r w:rsidRPr="006E1B82">
        <w:rPr>
          <w:b/>
          <w:bCs/>
          <w:lang w:val="en-US"/>
        </w:rPr>
        <w:t>Tabel 4.5. Hasil Uji Hipotesis Penelitian</w:t>
      </w:r>
    </w:p>
    <w:tbl>
      <w:tblPr>
        <w:tblW w:w="9360" w:type="dxa"/>
        <w:tblLayout w:type="fixed"/>
        <w:tblCellMar>
          <w:top w:w="15" w:type="dxa"/>
          <w:left w:w="15" w:type="dxa"/>
          <w:bottom w:w="15" w:type="dxa"/>
          <w:right w:w="15" w:type="dxa"/>
        </w:tblCellMar>
        <w:tblLook w:val="04A0" w:firstRow="1" w:lastRow="0" w:firstColumn="1" w:lastColumn="0" w:noHBand="0" w:noVBand="1"/>
      </w:tblPr>
      <w:tblGrid>
        <w:gridCol w:w="1890"/>
        <w:gridCol w:w="978"/>
        <w:gridCol w:w="1492"/>
        <w:gridCol w:w="1478"/>
        <w:gridCol w:w="1595"/>
        <w:gridCol w:w="1927"/>
      </w:tblGrid>
      <w:tr w:rsidR="005B73B8" w:rsidRPr="002E23CA" w14:paraId="177B481A" w14:textId="77777777" w:rsidTr="005B345A">
        <w:trPr>
          <w:trHeight w:val="294"/>
        </w:trPr>
        <w:tc>
          <w:tcPr>
            <w:tcW w:w="1890" w:type="dxa"/>
            <w:tcBorders>
              <w:top w:val="single" w:sz="4" w:space="0" w:color="000000"/>
              <w:bottom w:val="single" w:sz="4" w:space="0" w:color="000000"/>
            </w:tcBorders>
            <w:tcMar>
              <w:top w:w="0" w:type="dxa"/>
              <w:left w:w="115" w:type="dxa"/>
              <w:bottom w:w="0" w:type="dxa"/>
              <w:right w:w="115" w:type="dxa"/>
            </w:tcMar>
            <w:hideMark/>
          </w:tcPr>
          <w:p w14:paraId="775826C3" w14:textId="77777777" w:rsidR="005B73B8" w:rsidRPr="006C01DB" w:rsidRDefault="005B73B8" w:rsidP="005B345A">
            <w:pPr>
              <w:jc w:val="center"/>
              <w:rPr>
                <w:rFonts w:asciiTheme="majorBidi" w:hAnsiTheme="majorBidi" w:cstheme="majorBidi"/>
                <w:lang w:val="en-US"/>
              </w:rPr>
            </w:pPr>
            <w:r w:rsidRPr="006C01DB">
              <w:rPr>
                <w:rFonts w:asciiTheme="majorBidi" w:hAnsiTheme="majorBidi" w:cstheme="majorBidi"/>
                <w:b/>
                <w:bCs/>
                <w:color w:val="000000"/>
                <w:sz w:val="20"/>
                <w:szCs w:val="20"/>
                <w:lang w:val="en-US"/>
              </w:rPr>
              <w:t>Variabel </w:t>
            </w:r>
          </w:p>
        </w:tc>
        <w:tc>
          <w:tcPr>
            <w:tcW w:w="978" w:type="dxa"/>
            <w:tcBorders>
              <w:top w:val="single" w:sz="4" w:space="0" w:color="000000"/>
              <w:bottom w:val="single" w:sz="4" w:space="0" w:color="000000"/>
            </w:tcBorders>
            <w:tcMar>
              <w:top w:w="0" w:type="dxa"/>
              <w:left w:w="115" w:type="dxa"/>
              <w:bottom w:w="0" w:type="dxa"/>
              <w:right w:w="115" w:type="dxa"/>
            </w:tcMar>
            <w:hideMark/>
          </w:tcPr>
          <w:p w14:paraId="0BD40B04" w14:textId="77777777" w:rsidR="005B73B8" w:rsidRPr="006C01DB" w:rsidRDefault="005B73B8" w:rsidP="005B345A">
            <w:pPr>
              <w:jc w:val="center"/>
              <w:rPr>
                <w:rFonts w:asciiTheme="majorBidi" w:hAnsiTheme="majorBidi" w:cstheme="majorBidi"/>
                <w:lang w:val="en-US"/>
              </w:rPr>
            </w:pPr>
            <w:r w:rsidRPr="006C01DB">
              <w:rPr>
                <w:rFonts w:asciiTheme="majorBidi" w:hAnsiTheme="majorBidi" w:cstheme="majorBidi"/>
                <w:b/>
                <w:bCs/>
                <w:color w:val="000000"/>
                <w:sz w:val="20"/>
                <w:szCs w:val="20"/>
                <w:lang w:val="en-US"/>
              </w:rPr>
              <w:t>β</w:t>
            </w:r>
          </w:p>
        </w:tc>
        <w:tc>
          <w:tcPr>
            <w:tcW w:w="1492" w:type="dxa"/>
            <w:tcBorders>
              <w:top w:val="single" w:sz="4" w:space="0" w:color="000000"/>
              <w:bottom w:val="single" w:sz="4" w:space="0" w:color="000000"/>
            </w:tcBorders>
            <w:tcMar>
              <w:top w:w="0" w:type="dxa"/>
              <w:left w:w="115" w:type="dxa"/>
              <w:bottom w:w="0" w:type="dxa"/>
              <w:right w:w="115" w:type="dxa"/>
            </w:tcMar>
            <w:hideMark/>
          </w:tcPr>
          <w:p w14:paraId="60B75BD0" w14:textId="77777777" w:rsidR="005B73B8" w:rsidRPr="006C01DB" w:rsidRDefault="005B73B8" w:rsidP="005B345A">
            <w:pPr>
              <w:jc w:val="center"/>
              <w:rPr>
                <w:rFonts w:asciiTheme="majorBidi" w:hAnsiTheme="majorBidi" w:cstheme="majorBidi"/>
                <w:lang w:val="en-US"/>
              </w:rPr>
            </w:pPr>
            <w:r w:rsidRPr="006C01DB">
              <w:rPr>
                <w:rFonts w:asciiTheme="majorBidi" w:hAnsiTheme="majorBidi" w:cstheme="majorBidi"/>
                <w:b/>
                <w:bCs/>
                <w:color w:val="000000"/>
                <w:sz w:val="20"/>
                <w:szCs w:val="20"/>
                <w:lang w:val="en-US"/>
              </w:rPr>
              <w:t>T statistik</w:t>
            </w:r>
          </w:p>
        </w:tc>
        <w:tc>
          <w:tcPr>
            <w:tcW w:w="1478" w:type="dxa"/>
            <w:tcBorders>
              <w:top w:val="single" w:sz="4" w:space="0" w:color="000000"/>
              <w:bottom w:val="single" w:sz="4" w:space="0" w:color="000000"/>
            </w:tcBorders>
            <w:tcMar>
              <w:top w:w="0" w:type="dxa"/>
              <w:left w:w="115" w:type="dxa"/>
              <w:bottom w:w="0" w:type="dxa"/>
              <w:right w:w="115" w:type="dxa"/>
            </w:tcMar>
            <w:hideMark/>
          </w:tcPr>
          <w:p w14:paraId="754A1FB6" w14:textId="77777777" w:rsidR="005B73B8" w:rsidRPr="006C01DB" w:rsidRDefault="005B73B8" w:rsidP="005B345A">
            <w:pPr>
              <w:jc w:val="center"/>
              <w:rPr>
                <w:rFonts w:asciiTheme="majorBidi" w:hAnsiTheme="majorBidi" w:cstheme="majorBidi"/>
                <w:lang w:val="en-US"/>
              </w:rPr>
            </w:pPr>
            <w:r w:rsidRPr="006C01DB">
              <w:rPr>
                <w:rFonts w:asciiTheme="majorBidi" w:hAnsiTheme="majorBidi" w:cstheme="majorBidi"/>
                <w:b/>
                <w:bCs/>
                <w:color w:val="000000"/>
                <w:sz w:val="20"/>
                <w:szCs w:val="20"/>
                <w:lang w:val="en-US"/>
              </w:rPr>
              <w:t>Sig</w:t>
            </w:r>
          </w:p>
        </w:tc>
        <w:tc>
          <w:tcPr>
            <w:tcW w:w="1595" w:type="dxa"/>
            <w:tcBorders>
              <w:top w:val="single" w:sz="4" w:space="0" w:color="000000"/>
              <w:bottom w:val="single" w:sz="4" w:space="0" w:color="000000"/>
            </w:tcBorders>
            <w:tcMar>
              <w:top w:w="0" w:type="dxa"/>
              <w:left w:w="115" w:type="dxa"/>
              <w:bottom w:w="0" w:type="dxa"/>
              <w:right w:w="115" w:type="dxa"/>
            </w:tcMar>
            <w:hideMark/>
          </w:tcPr>
          <w:p w14:paraId="37AF9190" w14:textId="77777777" w:rsidR="005B73B8" w:rsidRPr="006C01DB" w:rsidRDefault="005B73B8" w:rsidP="005B345A">
            <w:pPr>
              <w:jc w:val="center"/>
              <w:rPr>
                <w:rFonts w:asciiTheme="majorBidi" w:hAnsiTheme="majorBidi" w:cstheme="majorBidi"/>
                <w:lang w:val="en-US"/>
              </w:rPr>
            </w:pPr>
            <w:r w:rsidRPr="006C01DB">
              <w:rPr>
                <w:rFonts w:asciiTheme="majorBidi" w:hAnsiTheme="majorBidi" w:cstheme="majorBidi"/>
                <w:b/>
                <w:bCs/>
                <w:color w:val="000000"/>
                <w:sz w:val="20"/>
                <w:szCs w:val="20"/>
                <w:lang w:val="en-US"/>
              </w:rPr>
              <w:t>Hipotesis </w:t>
            </w:r>
          </w:p>
        </w:tc>
        <w:tc>
          <w:tcPr>
            <w:tcW w:w="1927" w:type="dxa"/>
            <w:tcBorders>
              <w:top w:val="single" w:sz="4" w:space="0" w:color="000000"/>
              <w:bottom w:val="single" w:sz="4" w:space="0" w:color="000000"/>
            </w:tcBorders>
            <w:tcMar>
              <w:top w:w="0" w:type="dxa"/>
              <w:left w:w="115" w:type="dxa"/>
              <w:bottom w:w="0" w:type="dxa"/>
              <w:right w:w="115" w:type="dxa"/>
            </w:tcMar>
            <w:hideMark/>
          </w:tcPr>
          <w:p w14:paraId="6570124F" w14:textId="77777777" w:rsidR="005B73B8" w:rsidRPr="006C01DB" w:rsidRDefault="005B73B8" w:rsidP="005B345A">
            <w:pPr>
              <w:jc w:val="center"/>
              <w:rPr>
                <w:rFonts w:asciiTheme="majorBidi" w:hAnsiTheme="majorBidi" w:cstheme="majorBidi"/>
                <w:lang w:val="en-US"/>
              </w:rPr>
            </w:pPr>
            <w:r w:rsidRPr="006C01DB">
              <w:rPr>
                <w:rFonts w:asciiTheme="majorBidi" w:hAnsiTheme="majorBidi" w:cstheme="majorBidi"/>
                <w:b/>
                <w:bCs/>
                <w:color w:val="000000"/>
                <w:sz w:val="20"/>
                <w:szCs w:val="20"/>
                <w:lang w:val="en-US"/>
              </w:rPr>
              <w:t>Keterangan </w:t>
            </w:r>
          </w:p>
        </w:tc>
      </w:tr>
      <w:tr w:rsidR="005B73B8" w:rsidRPr="002E23CA" w14:paraId="4C73828C" w14:textId="77777777" w:rsidTr="005B345A">
        <w:tc>
          <w:tcPr>
            <w:tcW w:w="1890" w:type="dxa"/>
            <w:tcBorders>
              <w:top w:val="single" w:sz="4" w:space="0" w:color="000000"/>
            </w:tcBorders>
            <w:tcMar>
              <w:top w:w="0" w:type="dxa"/>
              <w:left w:w="115" w:type="dxa"/>
              <w:bottom w:w="0" w:type="dxa"/>
              <w:right w:w="115" w:type="dxa"/>
            </w:tcMar>
            <w:hideMark/>
          </w:tcPr>
          <w:p w14:paraId="6F89DA65" w14:textId="77777777" w:rsidR="005B73B8" w:rsidRPr="006C01DB" w:rsidRDefault="005B73B8" w:rsidP="005B345A">
            <w:pPr>
              <w:jc w:val="both"/>
              <w:rPr>
                <w:rFonts w:asciiTheme="majorBidi" w:hAnsiTheme="majorBidi" w:cstheme="majorBidi"/>
                <w:lang w:val="en-US"/>
              </w:rPr>
            </w:pPr>
            <w:r w:rsidRPr="006C01DB">
              <w:rPr>
                <w:rFonts w:asciiTheme="majorBidi" w:hAnsiTheme="majorBidi" w:cstheme="majorBidi"/>
                <w:color w:val="000000"/>
                <w:sz w:val="20"/>
                <w:szCs w:val="20"/>
                <w:lang w:val="en-US"/>
              </w:rPr>
              <w:t>Variabel Observasi :</w:t>
            </w:r>
          </w:p>
        </w:tc>
        <w:tc>
          <w:tcPr>
            <w:tcW w:w="978" w:type="dxa"/>
            <w:tcBorders>
              <w:top w:val="single" w:sz="4" w:space="0" w:color="000000"/>
            </w:tcBorders>
            <w:tcMar>
              <w:top w:w="0" w:type="dxa"/>
              <w:left w:w="115" w:type="dxa"/>
              <w:bottom w:w="0" w:type="dxa"/>
              <w:right w:w="115" w:type="dxa"/>
            </w:tcMar>
            <w:hideMark/>
          </w:tcPr>
          <w:p w14:paraId="168C4370" w14:textId="77777777" w:rsidR="005B73B8" w:rsidRPr="006C01DB" w:rsidRDefault="005B73B8" w:rsidP="005B345A">
            <w:pPr>
              <w:rPr>
                <w:rFonts w:asciiTheme="majorBidi" w:hAnsiTheme="majorBidi" w:cstheme="majorBidi"/>
                <w:lang w:val="en-US"/>
              </w:rPr>
            </w:pPr>
          </w:p>
        </w:tc>
        <w:tc>
          <w:tcPr>
            <w:tcW w:w="1492" w:type="dxa"/>
            <w:tcBorders>
              <w:top w:val="single" w:sz="4" w:space="0" w:color="000000"/>
            </w:tcBorders>
            <w:tcMar>
              <w:top w:w="0" w:type="dxa"/>
              <w:left w:w="115" w:type="dxa"/>
              <w:bottom w:w="0" w:type="dxa"/>
              <w:right w:w="115" w:type="dxa"/>
            </w:tcMar>
            <w:hideMark/>
          </w:tcPr>
          <w:p w14:paraId="1E03E526" w14:textId="77777777" w:rsidR="005B73B8" w:rsidRPr="006C01DB" w:rsidRDefault="005B73B8" w:rsidP="005B345A">
            <w:pPr>
              <w:rPr>
                <w:rFonts w:asciiTheme="majorBidi" w:hAnsiTheme="majorBidi" w:cstheme="majorBidi"/>
                <w:lang w:val="en-US"/>
              </w:rPr>
            </w:pPr>
          </w:p>
        </w:tc>
        <w:tc>
          <w:tcPr>
            <w:tcW w:w="1478" w:type="dxa"/>
            <w:tcBorders>
              <w:top w:val="single" w:sz="4" w:space="0" w:color="000000"/>
            </w:tcBorders>
            <w:tcMar>
              <w:top w:w="0" w:type="dxa"/>
              <w:left w:w="115" w:type="dxa"/>
              <w:bottom w:w="0" w:type="dxa"/>
              <w:right w:w="115" w:type="dxa"/>
            </w:tcMar>
            <w:hideMark/>
          </w:tcPr>
          <w:p w14:paraId="167AA4E5" w14:textId="77777777" w:rsidR="005B73B8" w:rsidRPr="006C01DB" w:rsidRDefault="005B73B8" w:rsidP="005B345A">
            <w:pPr>
              <w:rPr>
                <w:rFonts w:asciiTheme="majorBidi" w:hAnsiTheme="majorBidi" w:cstheme="majorBidi"/>
                <w:lang w:val="en-US"/>
              </w:rPr>
            </w:pPr>
          </w:p>
        </w:tc>
        <w:tc>
          <w:tcPr>
            <w:tcW w:w="1595" w:type="dxa"/>
            <w:tcBorders>
              <w:top w:val="single" w:sz="4" w:space="0" w:color="000000"/>
            </w:tcBorders>
            <w:tcMar>
              <w:top w:w="0" w:type="dxa"/>
              <w:left w:w="115" w:type="dxa"/>
              <w:bottom w:w="0" w:type="dxa"/>
              <w:right w:w="115" w:type="dxa"/>
            </w:tcMar>
            <w:hideMark/>
          </w:tcPr>
          <w:p w14:paraId="7A14A09B" w14:textId="77777777" w:rsidR="005B73B8" w:rsidRPr="006C01DB" w:rsidRDefault="005B73B8" w:rsidP="005B345A">
            <w:pPr>
              <w:rPr>
                <w:rFonts w:asciiTheme="majorBidi" w:hAnsiTheme="majorBidi" w:cstheme="majorBidi"/>
                <w:lang w:val="en-US"/>
              </w:rPr>
            </w:pPr>
          </w:p>
        </w:tc>
        <w:tc>
          <w:tcPr>
            <w:tcW w:w="1927" w:type="dxa"/>
            <w:tcBorders>
              <w:top w:val="single" w:sz="4" w:space="0" w:color="000000"/>
            </w:tcBorders>
            <w:tcMar>
              <w:top w:w="0" w:type="dxa"/>
              <w:left w:w="115" w:type="dxa"/>
              <w:bottom w:w="0" w:type="dxa"/>
              <w:right w:w="115" w:type="dxa"/>
            </w:tcMar>
            <w:hideMark/>
          </w:tcPr>
          <w:p w14:paraId="04625C17" w14:textId="77777777" w:rsidR="005B73B8" w:rsidRPr="006C01DB" w:rsidRDefault="005B73B8" w:rsidP="005B345A">
            <w:pPr>
              <w:rPr>
                <w:rFonts w:asciiTheme="majorBidi" w:hAnsiTheme="majorBidi" w:cstheme="majorBidi"/>
                <w:lang w:val="en-US"/>
              </w:rPr>
            </w:pPr>
          </w:p>
        </w:tc>
      </w:tr>
      <w:tr w:rsidR="005B73B8" w:rsidRPr="002E23CA" w14:paraId="006E1292" w14:textId="77777777" w:rsidTr="005B345A">
        <w:tc>
          <w:tcPr>
            <w:tcW w:w="1890" w:type="dxa"/>
            <w:tcMar>
              <w:top w:w="0" w:type="dxa"/>
              <w:left w:w="115" w:type="dxa"/>
              <w:bottom w:w="0" w:type="dxa"/>
              <w:right w:w="115" w:type="dxa"/>
            </w:tcMar>
            <w:hideMark/>
          </w:tcPr>
          <w:p w14:paraId="06640470" w14:textId="77777777" w:rsidR="005B73B8" w:rsidRPr="006C01DB" w:rsidRDefault="005B73B8" w:rsidP="005B345A">
            <w:pPr>
              <w:jc w:val="both"/>
              <w:rPr>
                <w:rFonts w:asciiTheme="majorBidi" w:hAnsiTheme="majorBidi" w:cstheme="majorBidi"/>
                <w:lang w:val="en-US"/>
              </w:rPr>
            </w:pPr>
            <w:r>
              <w:rPr>
                <w:rFonts w:asciiTheme="majorBidi" w:hAnsiTheme="majorBidi" w:cstheme="majorBidi"/>
                <w:color w:val="000000"/>
                <w:sz w:val="20"/>
                <w:szCs w:val="20"/>
                <w:lang w:val="en-US"/>
              </w:rPr>
              <w:t>CR &gt; NPM</w:t>
            </w:r>
          </w:p>
        </w:tc>
        <w:tc>
          <w:tcPr>
            <w:tcW w:w="978" w:type="dxa"/>
            <w:tcMar>
              <w:top w:w="0" w:type="dxa"/>
              <w:left w:w="115" w:type="dxa"/>
              <w:bottom w:w="0" w:type="dxa"/>
              <w:right w:w="115" w:type="dxa"/>
            </w:tcMar>
            <w:hideMark/>
          </w:tcPr>
          <w:p w14:paraId="460AEC6B" w14:textId="71D06A88" w:rsidR="005B73B8" w:rsidRPr="006C01DB" w:rsidRDefault="005B73B8" w:rsidP="005B345A">
            <w:pPr>
              <w:jc w:val="center"/>
              <w:rPr>
                <w:rFonts w:asciiTheme="majorBidi" w:hAnsiTheme="majorBidi" w:cstheme="majorBidi"/>
                <w:lang w:val="en-US"/>
              </w:rPr>
            </w:pPr>
            <w:r w:rsidRPr="006C01DB">
              <w:rPr>
                <w:rFonts w:asciiTheme="majorBidi" w:hAnsiTheme="majorBidi" w:cstheme="majorBidi"/>
                <w:color w:val="000000"/>
                <w:sz w:val="20"/>
                <w:szCs w:val="20"/>
                <w:lang w:val="en-US"/>
              </w:rPr>
              <w:t>0.</w:t>
            </w:r>
            <w:r w:rsidR="00CF628D">
              <w:rPr>
                <w:rFonts w:asciiTheme="majorBidi" w:hAnsiTheme="majorBidi" w:cstheme="majorBidi"/>
                <w:color w:val="000000"/>
                <w:sz w:val="20"/>
                <w:szCs w:val="20"/>
                <w:lang w:val="en-US"/>
              </w:rPr>
              <w:t>013</w:t>
            </w:r>
          </w:p>
        </w:tc>
        <w:tc>
          <w:tcPr>
            <w:tcW w:w="1492" w:type="dxa"/>
            <w:tcMar>
              <w:top w:w="0" w:type="dxa"/>
              <w:left w:w="115" w:type="dxa"/>
              <w:bottom w:w="0" w:type="dxa"/>
              <w:right w:w="115" w:type="dxa"/>
            </w:tcMar>
            <w:vAlign w:val="center"/>
            <w:hideMark/>
          </w:tcPr>
          <w:p w14:paraId="2C1C9366" w14:textId="5313B0DC" w:rsidR="005B73B8" w:rsidRPr="006C01DB" w:rsidRDefault="00CF628D" w:rsidP="005B345A">
            <w:pPr>
              <w:ind w:left="60" w:right="60"/>
              <w:jc w:val="center"/>
              <w:rPr>
                <w:rFonts w:asciiTheme="majorBidi" w:hAnsiTheme="majorBidi" w:cstheme="majorBidi"/>
                <w:lang w:val="en-US"/>
              </w:rPr>
            </w:pPr>
            <w:r>
              <w:rPr>
                <w:rFonts w:asciiTheme="majorBidi" w:hAnsiTheme="majorBidi" w:cstheme="majorBidi"/>
                <w:color w:val="000000"/>
                <w:sz w:val="20"/>
                <w:szCs w:val="20"/>
                <w:lang w:val="en-US"/>
              </w:rPr>
              <w:t>0.955</w:t>
            </w:r>
          </w:p>
        </w:tc>
        <w:tc>
          <w:tcPr>
            <w:tcW w:w="1478" w:type="dxa"/>
            <w:tcMar>
              <w:top w:w="0" w:type="dxa"/>
              <w:left w:w="115" w:type="dxa"/>
              <w:bottom w:w="0" w:type="dxa"/>
              <w:right w:w="115" w:type="dxa"/>
            </w:tcMar>
            <w:vAlign w:val="center"/>
            <w:hideMark/>
          </w:tcPr>
          <w:p w14:paraId="5F4F7151" w14:textId="0364EE04" w:rsidR="005B73B8" w:rsidRPr="006C01DB" w:rsidRDefault="005B73B8" w:rsidP="005B345A">
            <w:pPr>
              <w:ind w:right="60"/>
              <w:jc w:val="center"/>
              <w:rPr>
                <w:rFonts w:asciiTheme="majorBidi" w:hAnsiTheme="majorBidi" w:cstheme="majorBidi"/>
                <w:lang w:val="en-US"/>
              </w:rPr>
            </w:pPr>
            <w:r w:rsidRPr="006C01DB">
              <w:rPr>
                <w:rFonts w:asciiTheme="majorBidi" w:hAnsiTheme="majorBidi" w:cstheme="majorBidi"/>
                <w:color w:val="000000"/>
                <w:sz w:val="20"/>
                <w:szCs w:val="20"/>
                <w:lang w:val="en-US"/>
              </w:rPr>
              <w:t>0.</w:t>
            </w:r>
            <w:r w:rsidR="00CF628D">
              <w:rPr>
                <w:rFonts w:asciiTheme="majorBidi" w:hAnsiTheme="majorBidi" w:cstheme="majorBidi"/>
                <w:color w:val="000000"/>
                <w:sz w:val="20"/>
                <w:szCs w:val="20"/>
                <w:lang w:val="en-US"/>
              </w:rPr>
              <w:t>342</w:t>
            </w:r>
            <w:r w:rsidRPr="006C01DB">
              <w:rPr>
                <w:rFonts w:asciiTheme="majorBidi" w:hAnsiTheme="majorBidi" w:cstheme="majorBidi"/>
                <w:color w:val="000000"/>
                <w:sz w:val="20"/>
                <w:szCs w:val="20"/>
                <w:lang w:val="en-US"/>
              </w:rPr>
              <w:t xml:space="preserve"> **</w:t>
            </w:r>
          </w:p>
        </w:tc>
        <w:tc>
          <w:tcPr>
            <w:tcW w:w="1595" w:type="dxa"/>
            <w:tcMar>
              <w:top w:w="0" w:type="dxa"/>
              <w:left w:w="115" w:type="dxa"/>
              <w:bottom w:w="0" w:type="dxa"/>
              <w:right w:w="115" w:type="dxa"/>
            </w:tcMar>
            <w:hideMark/>
          </w:tcPr>
          <w:p w14:paraId="05BB1249" w14:textId="0D5AFF43" w:rsidR="005B73B8" w:rsidRPr="006C01DB" w:rsidRDefault="005B73B8" w:rsidP="005B345A">
            <w:pPr>
              <w:jc w:val="center"/>
              <w:rPr>
                <w:rFonts w:asciiTheme="majorBidi" w:hAnsiTheme="majorBidi" w:cstheme="majorBidi"/>
                <w:lang w:val="en-US"/>
              </w:rPr>
            </w:pPr>
            <w:r w:rsidRPr="006C01DB">
              <w:rPr>
                <w:rFonts w:asciiTheme="majorBidi" w:hAnsiTheme="majorBidi" w:cstheme="majorBidi"/>
                <w:color w:val="000000"/>
                <w:sz w:val="20"/>
                <w:szCs w:val="20"/>
                <w:lang w:val="en-US"/>
              </w:rPr>
              <w:t>H1 (</w:t>
            </w:r>
            <w:r w:rsidR="00CF628D">
              <w:rPr>
                <w:rFonts w:asciiTheme="majorBidi" w:hAnsiTheme="majorBidi" w:cstheme="majorBidi"/>
                <w:color w:val="000000"/>
                <w:sz w:val="20"/>
                <w:szCs w:val="20"/>
                <w:lang w:val="en-US"/>
              </w:rPr>
              <w:t>+</w:t>
            </w:r>
            <w:r w:rsidRPr="006C01DB">
              <w:rPr>
                <w:rFonts w:asciiTheme="majorBidi" w:hAnsiTheme="majorBidi" w:cstheme="majorBidi"/>
                <w:color w:val="000000"/>
                <w:sz w:val="20"/>
                <w:szCs w:val="20"/>
                <w:lang w:val="en-US"/>
              </w:rPr>
              <w:t>)</w:t>
            </w:r>
          </w:p>
        </w:tc>
        <w:tc>
          <w:tcPr>
            <w:tcW w:w="1927" w:type="dxa"/>
            <w:tcMar>
              <w:top w:w="0" w:type="dxa"/>
              <w:left w:w="115" w:type="dxa"/>
              <w:bottom w:w="0" w:type="dxa"/>
              <w:right w:w="115" w:type="dxa"/>
            </w:tcMar>
            <w:hideMark/>
          </w:tcPr>
          <w:p w14:paraId="74B93689" w14:textId="3955CCB9" w:rsidR="005B73B8" w:rsidRPr="006C01DB" w:rsidRDefault="00CF628D" w:rsidP="005B345A">
            <w:pPr>
              <w:jc w:val="center"/>
              <w:rPr>
                <w:rFonts w:asciiTheme="majorBidi" w:hAnsiTheme="majorBidi" w:cstheme="majorBidi"/>
                <w:lang w:val="en-US"/>
              </w:rPr>
            </w:pPr>
            <w:r>
              <w:rPr>
                <w:rFonts w:asciiTheme="majorBidi" w:hAnsiTheme="majorBidi" w:cstheme="majorBidi"/>
                <w:color w:val="000000"/>
                <w:sz w:val="20"/>
                <w:szCs w:val="20"/>
                <w:lang w:val="en-US"/>
              </w:rPr>
              <w:t>Ditolak</w:t>
            </w:r>
          </w:p>
        </w:tc>
      </w:tr>
      <w:tr w:rsidR="005B73B8" w:rsidRPr="002E23CA" w14:paraId="46C651E3" w14:textId="77777777" w:rsidTr="005B345A">
        <w:tc>
          <w:tcPr>
            <w:tcW w:w="1890" w:type="dxa"/>
            <w:tcMar>
              <w:top w:w="0" w:type="dxa"/>
              <w:left w:w="115" w:type="dxa"/>
              <w:bottom w:w="0" w:type="dxa"/>
              <w:right w:w="115" w:type="dxa"/>
            </w:tcMar>
            <w:hideMark/>
          </w:tcPr>
          <w:p w14:paraId="19CB14A0" w14:textId="541FFA66" w:rsidR="005B73B8" w:rsidRPr="006C01DB" w:rsidRDefault="00CF628D" w:rsidP="005B345A">
            <w:pPr>
              <w:jc w:val="both"/>
              <w:rPr>
                <w:rFonts w:asciiTheme="majorBidi" w:hAnsiTheme="majorBidi" w:cstheme="majorBidi"/>
                <w:lang w:val="en-US"/>
              </w:rPr>
            </w:pPr>
            <w:r>
              <w:rPr>
                <w:rFonts w:asciiTheme="majorBidi" w:hAnsiTheme="majorBidi" w:cstheme="majorBidi"/>
                <w:color w:val="000000"/>
                <w:sz w:val="20"/>
                <w:szCs w:val="20"/>
                <w:lang w:val="en-US"/>
              </w:rPr>
              <w:t>DER</w:t>
            </w:r>
            <w:r w:rsidR="005B73B8">
              <w:rPr>
                <w:rFonts w:asciiTheme="majorBidi" w:hAnsiTheme="majorBidi" w:cstheme="majorBidi"/>
                <w:color w:val="000000"/>
                <w:sz w:val="20"/>
                <w:szCs w:val="20"/>
                <w:lang w:val="en-US"/>
              </w:rPr>
              <w:t xml:space="preserve"> &gt; NPM</w:t>
            </w:r>
          </w:p>
        </w:tc>
        <w:tc>
          <w:tcPr>
            <w:tcW w:w="978" w:type="dxa"/>
            <w:tcMar>
              <w:top w:w="0" w:type="dxa"/>
              <w:left w:w="115" w:type="dxa"/>
              <w:bottom w:w="0" w:type="dxa"/>
              <w:right w:w="115" w:type="dxa"/>
            </w:tcMar>
            <w:hideMark/>
          </w:tcPr>
          <w:p w14:paraId="1EE310B3" w14:textId="1ACA1830" w:rsidR="005B73B8" w:rsidRPr="006C01DB" w:rsidRDefault="00CF628D" w:rsidP="005B345A">
            <w:pPr>
              <w:jc w:val="center"/>
              <w:rPr>
                <w:rFonts w:asciiTheme="majorBidi" w:hAnsiTheme="majorBidi" w:cstheme="majorBidi"/>
                <w:lang w:val="en-US"/>
              </w:rPr>
            </w:pPr>
            <w:r>
              <w:rPr>
                <w:rFonts w:asciiTheme="majorBidi" w:hAnsiTheme="majorBidi" w:cstheme="majorBidi"/>
                <w:color w:val="000000"/>
                <w:sz w:val="20"/>
                <w:szCs w:val="20"/>
                <w:lang w:val="en-US"/>
              </w:rPr>
              <w:t>-</w:t>
            </w:r>
            <w:r w:rsidR="005B73B8" w:rsidRPr="006C01DB">
              <w:rPr>
                <w:rFonts w:asciiTheme="majorBidi" w:hAnsiTheme="majorBidi" w:cstheme="majorBidi"/>
                <w:color w:val="000000"/>
                <w:sz w:val="20"/>
                <w:szCs w:val="20"/>
                <w:lang w:val="en-US"/>
              </w:rPr>
              <w:t>0.</w:t>
            </w:r>
            <w:r>
              <w:rPr>
                <w:rFonts w:asciiTheme="majorBidi" w:hAnsiTheme="majorBidi" w:cstheme="majorBidi"/>
                <w:color w:val="000000"/>
                <w:sz w:val="20"/>
                <w:szCs w:val="20"/>
                <w:lang w:val="en-US"/>
              </w:rPr>
              <w:t>153</w:t>
            </w:r>
          </w:p>
        </w:tc>
        <w:tc>
          <w:tcPr>
            <w:tcW w:w="1492" w:type="dxa"/>
            <w:tcMar>
              <w:top w:w="0" w:type="dxa"/>
              <w:left w:w="115" w:type="dxa"/>
              <w:bottom w:w="0" w:type="dxa"/>
              <w:right w:w="115" w:type="dxa"/>
            </w:tcMar>
            <w:vAlign w:val="center"/>
            <w:hideMark/>
          </w:tcPr>
          <w:p w14:paraId="08046874" w14:textId="63B47728" w:rsidR="005B73B8" w:rsidRPr="006C01DB" w:rsidRDefault="00CF628D" w:rsidP="005B345A">
            <w:pPr>
              <w:ind w:left="60" w:right="60"/>
              <w:jc w:val="center"/>
              <w:rPr>
                <w:rFonts w:asciiTheme="majorBidi" w:hAnsiTheme="majorBidi" w:cstheme="majorBidi"/>
                <w:lang w:val="en-US"/>
              </w:rPr>
            </w:pPr>
            <w:r>
              <w:rPr>
                <w:rFonts w:asciiTheme="majorBidi" w:hAnsiTheme="majorBidi" w:cstheme="majorBidi"/>
                <w:color w:val="000000"/>
                <w:sz w:val="20"/>
                <w:szCs w:val="20"/>
                <w:lang w:val="en-US"/>
              </w:rPr>
              <w:t>-2.134</w:t>
            </w:r>
          </w:p>
        </w:tc>
        <w:tc>
          <w:tcPr>
            <w:tcW w:w="1478" w:type="dxa"/>
            <w:tcMar>
              <w:top w:w="0" w:type="dxa"/>
              <w:left w:w="115" w:type="dxa"/>
              <w:bottom w:w="0" w:type="dxa"/>
              <w:right w:w="115" w:type="dxa"/>
            </w:tcMar>
            <w:vAlign w:val="center"/>
            <w:hideMark/>
          </w:tcPr>
          <w:p w14:paraId="2C27D590" w14:textId="3487F173" w:rsidR="005B73B8" w:rsidRPr="006C01DB" w:rsidRDefault="005B73B8" w:rsidP="005B345A">
            <w:pPr>
              <w:ind w:right="60"/>
              <w:jc w:val="center"/>
              <w:rPr>
                <w:rFonts w:asciiTheme="majorBidi" w:hAnsiTheme="majorBidi" w:cstheme="majorBidi"/>
                <w:lang w:val="en-US"/>
              </w:rPr>
            </w:pPr>
            <w:r w:rsidRPr="006C01DB">
              <w:rPr>
                <w:rFonts w:asciiTheme="majorBidi" w:hAnsiTheme="majorBidi" w:cstheme="majorBidi"/>
                <w:color w:val="000000"/>
                <w:sz w:val="20"/>
                <w:szCs w:val="20"/>
                <w:lang w:val="en-US"/>
              </w:rPr>
              <w:t>0.0</w:t>
            </w:r>
            <w:r w:rsidR="00CF628D">
              <w:rPr>
                <w:rFonts w:asciiTheme="majorBidi" w:hAnsiTheme="majorBidi" w:cstheme="majorBidi"/>
                <w:color w:val="000000"/>
                <w:sz w:val="20"/>
                <w:szCs w:val="20"/>
                <w:lang w:val="en-US"/>
              </w:rPr>
              <w:t>35</w:t>
            </w:r>
            <w:r w:rsidRPr="006C01DB">
              <w:rPr>
                <w:rFonts w:asciiTheme="majorBidi" w:hAnsiTheme="majorBidi" w:cstheme="majorBidi"/>
                <w:color w:val="000000"/>
                <w:sz w:val="20"/>
                <w:szCs w:val="20"/>
                <w:lang w:val="en-US"/>
              </w:rPr>
              <w:t xml:space="preserve"> **</w:t>
            </w:r>
          </w:p>
        </w:tc>
        <w:tc>
          <w:tcPr>
            <w:tcW w:w="1595" w:type="dxa"/>
            <w:tcMar>
              <w:top w:w="0" w:type="dxa"/>
              <w:left w:w="115" w:type="dxa"/>
              <w:bottom w:w="0" w:type="dxa"/>
              <w:right w:w="115" w:type="dxa"/>
            </w:tcMar>
            <w:hideMark/>
          </w:tcPr>
          <w:p w14:paraId="0F38C5FA" w14:textId="538D8A90" w:rsidR="005B73B8" w:rsidRPr="006C01DB" w:rsidRDefault="005B73B8" w:rsidP="005B345A">
            <w:pPr>
              <w:jc w:val="center"/>
              <w:rPr>
                <w:rFonts w:asciiTheme="majorBidi" w:hAnsiTheme="majorBidi" w:cstheme="majorBidi"/>
                <w:lang w:val="en-US"/>
              </w:rPr>
            </w:pPr>
            <w:r w:rsidRPr="006C01DB">
              <w:rPr>
                <w:rFonts w:asciiTheme="majorBidi" w:hAnsiTheme="majorBidi" w:cstheme="majorBidi"/>
                <w:color w:val="000000"/>
                <w:sz w:val="20"/>
                <w:szCs w:val="20"/>
                <w:lang w:val="en-US"/>
              </w:rPr>
              <w:t>H2 (</w:t>
            </w:r>
            <w:r w:rsidR="00605002">
              <w:rPr>
                <w:rFonts w:asciiTheme="majorBidi" w:hAnsiTheme="majorBidi" w:cstheme="majorBidi"/>
                <w:color w:val="000000"/>
                <w:sz w:val="20"/>
                <w:szCs w:val="20"/>
                <w:lang w:val="en-US"/>
              </w:rPr>
              <w:t>-</w:t>
            </w:r>
            <w:r w:rsidRPr="006C01DB">
              <w:rPr>
                <w:rFonts w:asciiTheme="majorBidi" w:hAnsiTheme="majorBidi" w:cstheme="majorBidi"/>
                <w:color w:val="000000"/>
                <w:sz w:val="20"/>
                <w:szCs w:val="20"/>
                <w:lang w:val="en-US"/>
              </w:rPr>
              <w:t>)</w:t>
            </w:r>
          </w:p>
        </w:tc>
        <w:tc>
          <w:tcPr>
            <w:tcW w:w="1927" w:type="dxa"/>
            <w:tcMar>
              <w:top w:w="0" w:type="dxa"/>
              <w:left w:w="115" w:type="dxa"/>
              <w:bottom w:w="0" w:type="dxa"/>
              <w:right w:w="115" w:type="dxa"/>
            </w:tcMar>
            <w:hideMark/>
          </w:tcPr>
          <w:p w14:paraId="100FBCAF" w14:textId="77777777" w:rsidR="005B73B8" w:rsidRPr="006C01DB" w:rsidRDefault="005B73B8" w:rsidP="005B345A">
            <w:pPr>
              <w:jc w:val="center"/>
              <w:rPr>
                <w:rFonts w:asciiTheme="majorBidi" w:hAnsiTheme="majorBidi" w:cstheme="majorBidi"/>
                <w:lang w:val="en-US"/>
              </w:rPr>
            </w:pPr>
            <w:r w:rsidRPr="006C01DB">
              <w:rPr>
                <w:rFonts w:asciiTheme="majorBidi" w:hAnsiTheme="majorBidi" w:cstheme="majorBidi"/>
                <w:color w:val="000000"/>
                <w:sz w:val="20"/>
                <w:szCs w:val="20"/>
                <w:lang w:val="en-US"/>
              </w:rPr>
              <w:t>Diterima</w:t>
            </w:r>
          </w:p>
        </w:tc>
      </w:tr>
      <w:tr w:rsidR="00537F12" w:rsidRPr="002E23CA" w14:paraId="2BF61A46" w14:textId="77777777" w:rsidTr="005B345A">
        <w:tc>
          <w:tcPr>
            <w:tcW w:w="1890" w:type="dxa"/>
            <w:tcMar>
              <w:top w:w="0" w:type="dxa"/>
              <w:left w:w="115" w:type="dxa"/>
              <w:bottom w:w="0" w:type="dxa"/>
              <w:right w:w="115" w:type="dxa"/>
            </w:tcMar>
          </w:tcPr>
          <w:p w14:paraId="5C7905AD" w14:textId="7D73AB57" w:rsidR="00537F12" w:rsidRDefault="00CF628D" w:rsidP="005B345A">
            <w:pPr>
              <w:jc w:val="both"/>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TATO &gt; NPM</w:t>
            </w:r>
          </w:p>
        </w:tc>
        <w:tc>
          <w:tcPr>
            <w:tcW w:w="978" w:type="dxa"/>
            <w:tcMar>
              <w:top w:w="0" w:type="dxa"/>
              <w:left w:w="115" w:type="dxa"/>
              <w:bottom w:w="0" w:type="dxa"/>
              <w:right w:w="115" w:type="dxa"/>
            </w:tcMar>
          </w:tcPr>
          <w:p w14:paraId="29DBB343" w14:textId="43FF994D" w:rsidR="00537F12" w:rsidRPr="006C01DB" w:rsidRDefault="00CF628D" w:rsidP="005B345A">
            <w:pPr>
              <w:jc w:val="center"/>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0.021</w:t>
            </w:r>
          </w:p>
        </w:tc>
        <w:tc>
          <w:tcPr>
            <w:tcW w:w="1492" w:type="dxa"/>
            <w:tcMar>
              <w:top w:w="0" w:type="dxa"/>
              <w:left w:w="115" w:type="dxa"/>
              <w:bottom w:w="0" w:type="dxa"/>
              <w:right w:w="115" w:type="dxa"/>
            </w:tcMar>
            <w:vAlign w:val="center"/>
          </w:tcPr>
          <w:p w14:paraId="6C78DD04" w14:textId="5050607B" w:rsidR="00537F12" w:rsidRDefault="00CF628D" w:rsidP="005B345A">
            <w:pPr>
              <w:ind w:left="60" w:right="60"/>
              <w:jc w:val="center"/>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0.941</w:t>
            </w:r>
          </w:p>
        </w:tc>
        <w:tc>
          <w:tcPr>
            <w:tcW w:w="1478" w:type="dxa"/>
            <w:tcMar>
              <w:top w:w="0" w:type="dxa"/>
              <w:left w:w="115" w:type="dxa"/>
              <w:bottom w:w="0" w:type="dxa"/>
              <w:right w:w="115" w:type="dxa"/>
            </w:tcMar>
            <w:vAlign w:val="center"/>
          </w:tcPr>
          <w:p w14:paraId="73C3CDD3" w14:textId="4E144880" w:rsidR="00537F12" w:rsidRPr="006C01DB" w:rsidRDefault="00CF628D" w:rsidP="005B345A">
            <w:pPr>
              <w:ind w:right="60"/>
              <w:jc w:val="center"/>
              <w:rPr>
                <w:rFonts w:asciiTheme="majorBidi" w:hAnsiTheme="majorBidi" w:cstheme="majorBidi"/>
                <w:color w:val="000000"/>
                <w:sz w:val="20"/>
                <w:szCs w:val="20"/>
                <w:lang w:val="en-US"/>
              </w:rPr>
            </w:pPr>
            <w:r w:rsidRPr="006C01DB">
              <w:rPr>
                <w:rFonts w:asciiTheme="majorBidi" w:hAnsiTheme="majorBidi" w:cstheme="majorBidi"/>
                <w:color w:val="000000"/>
                <w:sz w:val="20"/>
                <w:szCs w:val="20"/>
                <w:lang w:val="en-US"/>
              </w:rPr>
              <w:t>0.</w:t>
            </w:r>
            <w:r>
              <w:rPr>
                <w:rFonts w:asciiTheme="majorBidi" w:hAnsiTheme="majorBidi" w:cstheme="majorBidi"/>
                <w:color w:val="000000"/>
                <w:sz w:val="20"/>
                <w:szCs w:val="20"/>
                <w:lang w:val="en-US"/>
              </w:rPr>
              <w:t>349</w:t>
            </w:r>
            <w:r w:rsidRPr="006C01DB">
              <w:rPr>
                <w:rFonts w:asciiTheme="majorBidi" w:hAnsiTheme="majorBidi" w:cstheme="majorBidi"/>
                <w:color w:val="000000"/>
                <w:sz w:val="20"/>
                <w:szCs w:val="20"/>
                <w:lang w:val="en-US"/>
              </w:rPr>
              <w:t xml:space="preserve"> **</w:t>
            </w:r>
          </w:p>
        </w:tc>
        <w:tc>
          <w:tcPr>
            <w:tcW w:w="1595" w:type="dxa"/>
            <w:tcMar>
              <w:top w:w="0" w:type="dxa"/>
              <w:left w:w="115" w:type="dxa"/>
              <w:bottom w:w="0" w:type="dxa"/>
              <w:right w:w="115" w:type="dxa"/>
            </w:tcMar>
          </w:tcPr>
          <w:p w14:paraId="39BBFCBB" w14:textId="44F674EF" w:rsidR="00537F12" w:rsidRPr="006C01DB" w:rsidRDefault="00CF628D" w:rsidP="005B345A">
            <w:pPr>
              <w:jc w:val="center"/>
              <w:rPr>
                <w:rFonts w:asciiTheme="majorBidi" w:hAnsiTheme="majorBidi" w:cstheme="majorBidi"/>
                <w:color w:val="000000"/>
                <w:sz w:val="20"/>
                <w:szCs w:val="20"/>
                <w:lang w:val="en-US"/>
              </w:rPr>
            </w:pPr>
            <w:r w:rsidRPr="006C01DB">
              <w:rPr>
                <w:rFonts w:asciiTheme="majorBidi" w:hAnsiTheme="majorBidi" w:cstheme="majorBidi"/>
                <w:color w:val="000000"/>
                <w:sz w:val="20"/>
                <w:szCs w:val="20"/>
                <w:lang w:val="en-US"/>
              </w:rPr>
              <w:t>H</w:t>
            </w:r>
            <w:r>
              <w:rPr>
                <w:rFonts w:asciiTheme="majorBidi" w:hAnsiTheme="majorBidi" w:cstheme="majorBidi"/>
                <w:color w:val="000000"/>
                <w:sz w:val="20"/>
                <w:szCs w:val="20"/>
                <w:lang w:val="en-US"/>
              </w:rPr>
              <w:t>3</w:t>
            </w:r>
            <w:r w:rsidRPr="006C01DB">
              <w:rPr>
                <w:rFonts w:asciiTheme="majorBidi" w:hAnsiTheme="majorBidi" w:cstheme="majorBidi"/>
                <w:color w:val="000000"/>
                <w:sz w:val="20"/>
                <w:szCs w:val="20"/>
                <w:lang w:val="en-US"/>
              </w:rPr>
              <w:t xml:space="preserve"> (+)</w:t>
            </w:r>
          </w:p>
        </w:tc>
        <w:tc>
          <w:tcPr>
            <w:tcW w:w="1927" w:type="dxa"/>
            <w:tcMar>
              <w:top w:w="0" w:type="dxa"/>
              <w:left w:w="115" w:type="dxa"/>
              <w:bottom w:w="0" w:type="dxa"/>
              <w:right w:w="115" w:type="dxa"/>
            </w:tcMar>
          </w:tcPr>
          <w:p w14:paraId="7BDB6D1E" w14:textId="3B1FDDCF" w:rsidR="00537F12" w:rsidRPr="006C01DB" w:rsidRDefault="00605002" w:rsidP="005B345A">
            <w:pPr>
              <w:jc w:val="center"/>
              <w:rPr>
                <w:rFonts w:asciiTheme="majorBidi" w:hAnsiTheme="majorBidi" w:cstheme="majorBidi"/>
                <w:color w:val="000000"/>
                <w:sz w:val="20"/>
                <w:szCs w:val="20"/>
                <w:lang w:val="en-US"/>
              </w:rPr>
            </w:pPr>
            <w:r>
              <w:rPr>
                <w:rFonts w:asciiTheme="majorBidi" w:hAnsiTheme="majorBidi" w:cstheme="majorBidi"/>
                <w:color w:val="000000"/>
                <w:sz w:val="20"/>
                <w:szCs w:val="20"/>
                <w:lang w:val="en-US"/>
              </w:rPr>
              <w:t>Ditolak</w:t>
            </w:r>
          </w:p>
        </w:tc>
      </w:tr>
      <w:tr w:rsidR="005B73B8" w:rsidRPr="002E23CA" w14:paraId="3BA5EC23" w14:textId="77777777" w:rsidTr="005B345A">
        <w:tc>
          <w:tcPr>
            <w:tcW w:w="1890" w:type="dxa"/>
            <w:tcBorders>
              <w:top w:val="single" w:sz="4" w:space="0" w:color="auto"/>
            </w:tcBorders>
            <w:tcMar>
              <w:top w:w="0" w:type="dxa"/>
              <w:left w:w="115" w:type="dxa"/>
              <w:bottom w:w="0" w:type="dxa"/>
              <w:right w:w="115" w:type="dxa"/>
            </w:tcMar>
            <w:hideMark/>
          </w:tcPr>
          <w:p w14:paraId="41405E86" w14:textId="77777777" w:rsidR="005B73B8" w:rsidRPr="006C01DB" w:rsidRDefault="005B73B8" w:rsidP="005B345A">
            <w:pPr>
              <w:jc w:val="both"/>
              <w:rPr>
                <w:rFonts w:asciiTheme="majorBidi" w:hAnsiTheme="majorBidi" w:cstheme="majorBidi"/>
                <w:lang w:val="en-US"/>
              </w:rPr>
            </w:pPr>
            <w:r w:rsidRPr="006C01DB">
              <w:rPr>
                <w:rFonts w:asciiTheme="majorBidi" w:hAnsiTheme="majorBidi" w:cstheme="majorBidi"/>
                <w:color w:val="000000"/>
                <w:sz w:val="20"/>
                <w:szCs w:val="20"/>
                <w:lang w:val="en-US"/>
              </w:rPr>
              <w:t>Persamaan Regresi</w:t>
            </w:r>
          </w:p>
        </w:tc>
        <w:tc>
          <w:tcPr>
            <w:tcW w:w="7470" w:type="dxa"/>
            <w:gridSpan w:val="5"/>
            <w:tcBorders>
              <w:top w:val="single" w:sz="4" w:space="0" w:color="auto"/>
            </w:tcBorders>
            <w:tcMar>
              <w:top w:w="0" w:type="dxa"/>
              <w:left w:w="115" w:type="dxa"/>
              <w:bottom w:w="0" w:type="dxa"/>
              <w:right w:w="115" w:type="dxa"/>
            </w:tcMar>
            <w:hideMark/>
          </w:tcPr>
          <w:p w14:paraId="5D770FCC" w14:textId="2CF4CD62" w:rsidR="005B73B8" w:rsidRPr="006C01DB" w:rsidRDefault="005B73B8" w:rsidP="005B345A">
            <w:pPr>
              <w:jc w:val="center"/>
              <w:rPr>
                <w:rFonts w:asciiTheme="majorBidi" w:hAnsiTheme="majorBidi" w:cstheme="majorBidi"/>
                <w:lang w:val="en-US"/>
              </w:rPr>
            </w:pPr>
            <w:r>
              <w:rPr>
                <w:rFonts w:asciiTheme="majorBidi" w:hAnsiTheme="majorBidi" w:cstheme="majorBidi"/>
                <w:b/>
                <w:bCs/>
                <w:color w:val="000000"/>
                <w:sz w:val="20"/>
                <w:szCs w:val="20"/>
                <w:lang w:val="en-US"/>
              </w:rPr>
              <w:t>NPM</w:t>
            </w:r>
            <w:r w:rsidRPr="006C01DB">
              <w:rPr>
                <w:rFonts w:asciiTheme="majorBidi" w:hAnsiTheme="majorBidi" w:cstheme="majorBidi"/>
                <w:b/>
                <w:bCs/>
                <w:color w:val="000000"/>
                <w:sz w:val="20"/>
                <w:szCs w:val="20"/>
                <w:lang w:val="en-US"/>
              </w:rPr>
              <w:t xml:space="preserve"> = </w:t>
            </w:r>
            <w:r w:rsidR="00CF628D" w:rsidRPr="00CF628D">
              <w:rPr>
                <w:rFonts w:asciiTheme="majorBidi" w:hAnsiTheme="majorBidi" w:cstheme="majorBidi"/>
                <w:b/>
                <w:bCs/>
                <w:color w:val="000000"/>
                <w:sz w:val="20"/>
                <w:szCs w:val="20"/>
                <w:lang w:val="en-US"/>
              </w:rPr>
              <w:t>0.127</w:t>
            </w:r>
            <w:r w:rsidR="00CF628D" w:rsidRPr="006C01DB">
              <w:rPr>
                <w:rFonts w:asciiTheme="majorBidi" w:hAnsiTheme="majorBidi" w:cstheme="majorBidi"/>
                <w:b/>
                <w:bCs/>
                <w:color w:val="000000"/>
                <w:sz w:val="20"/>
                <w:szCs w:val="20"/>
                <w:lang w:val="en-US"/>
              </w:rPr>
              <w:t>α</w:t>
            </w:r>
            <w:r w:rsidR="00CF628D" w:rsidRPr="00CF628D">
              <w:rPr>
                <w:rFonts w:asciiTheme="majorBidi" w:hAnsiTheme="majorBidi" w:cstheme="majorBidi"/>
                <w:b/>
                <w:bCs/>
                <w:color w:val="000000"/>
                <w:sz w:val="20"/>
                <w:szCs w:val="20"/>
                <w:lang w:val="en-US"/>
              </w:rPr>
              <w:t xml:space="preserve"> + 0.013</w:t>
            </w:r>
            <w:r w:rsidR="00CF628D">
              <w:rPr>
                <w:rFonts w:asciiTheme="majorBidi" w:hAnsiTheme="majorBidi" w:cstheme="majorBidi"/>
                <w:b/>
                <w:bCs/>
                <w:color w:val="000000"/>
                <w:sz w:val="20"/>
                <w:szCs w:val="20"/>
                <w:lang w:val="en-US"/>
              </w:rPr>
              <w:t>CR</w:t>
            </w:r>
            <w:r w:rsidR="00CF628D" w:rsidRPr="00CF628D">
              <w:rPr>
                <w:rFonts w:asciiTheme="majorBidi" w:hAnsiTheme="majorBidi" w:cstheme="majorBidi"/>
                <w:b/>
                <w:bCs/>
                <w:color w:val="000000"/>
                <w:sz w:val="20"/>
                <w:szCs w:val="20"/>
                <w:lang w:val="en-US"/>
              </w:rPr>
              <w:t xml:space="preserve"> – 0.153</w:t>
            </w:r>
            <w:r w:rsidR="00CF628D">
              <w:rPr>
                <w:rFonts w:asciiTheme="majorBidi" w:hAnsiTheme="majorBidi" w:cstheme="majorBidi"/>
                <w:b/>
                <w:bCs/>
                <w:color w:val="000000"/>
                <w:sz w:val="20"/>
                <w:szCs w:val="20"/>
                <w:lang w:val="en-US"/>
              </w:rPr>
              <w:t>DER</w:t>
            </w:r>
            <w:r w:rsidR="00CF628D" w:rsidRPr="00CF628D">
              <w:rPr>
                <w:rFonts w:asciiTheme="majorBidi" w:hAnsiTheme="majorBidi" w:cstheme="majorBidi"/>
                <w:b/>
                <w:bCs/>
                <w:color w:val="000000"/>
                <w:sz w:val="20"/>
                <w:szCs w:val="20"/>
                <w:lang w:val="en-US"/>
              </w:rPr>
              <w:t xml:space="preserve"> + 0.021</w:t>
            </w:r>
            <w:r w:rsidR="00CF628D">
              <w:rPr>
                <w:rFonts w:asciiTheme="majorBidi" w:hAnsiTheme="majorBidi" w:cstheme="majorBidi"/>
                <w:b/>
                <w:bCs/>
                <w:color w:val="000000"/>
                <w:sz w:val="20"/>
                <w:szCs w:val="20"/>
                <w:lang w:val="en-US"/>
              </w:rPr>
              <w:t>TATO</w:t>
            </w:r>
            <w:r w:rsidR="00CF628D" w:rsidRPr="00CF628D">
              <w:rPr>
                <w:rFonts w:asciiTheme="majorBidi" w:hAnsiTheme="majorBidi" w:cstheme="majorBidi"/>
                <w:b/>
                <w:bCs/>
                <w:color w:val="000000"/>
                <w:sz w:val="20"/>
                <w:szCs w:val="20"/>
                <w:lang w:val="en-US"/>
              </w:rPr>
              <w:t xml:space="preserve"> + </w:t>
            </w:r>
            <w:r w:rsidR="00CF628D">
              <w:rPr>
                <w:rFonts w:asciiTheme="majorBidi" w:hAnsiTheme="majorBidi" w:cstheme="majorBidi"/>
                <w:b/>
                <w:bCs/>
                <w:color w:val="000000"/>
                <w:sz w:val="20"/>
                <w:szCs w:val="20"/>
                <w:lang w:val="en-US"/>
              </w:rPr>
              <w:t>0.56</w:t>
            </w:r>
            <w:r w:rsidR="00CF628D" w:rsidRPr="00CF628D">
              <w:rPr>
                <w:rFonts w:asciiTheme="majorBidi" w:hAnsiTheme="majorBidi" w:cstheme="majorBidi"/>
                <w:b/>
                <w:bCs/>
                <w:color w:val="000000"/>
                <w:sz w:val="20"/>
                <w:szCs w:val="20"/>
                <w:lang w:val="en-US"/>
              </w:rPr>
              <w:t>€</w:t>
            </w:r>
          </w:p>
        </w:tc>
      </w:tr>
      <w:tr w:rsidR="005B73B8" w:rsidRPr="002E23CA" w14:paraId="0158920A" w14:textId="77777777" w:rsidTr="005B345A">
        <w:tc>
          <w:tcPr>
            <w:tcW w:w="1890" w:type="dxa"/>
            <w:tcMar>
              <w:top w:w="0" w:type="dxa"/>
              <w:left w:w="115" w:type="dxa"/>
              <w:bottom w:w="0" w:type="dxa"/>
              <w:right w:w="115" w:type="dxa"/>
            </w:tcMar>
            <w:hideMark/>
          </w:tcPr>
          <w:p w14:paraId="6760CB30" w14:textId="77777777" w:rsidR="005B73B8" w:rsidRPr="006C01DB" w:rsidRDefault="005B73B8" w:rsidP="005B345A">
            <w:pPr>
              <w:jc w:val="both"/>
              <w:rPr>
                <w:rFonts w:asciiTheme="majorBidi" w:hAnsiTheme="majorBidi" w:cstheme="majorBidi"/>
                <w:lang w:val="en-US"/>
              </w:rPr>
            </w:pPr>
            <w:r w:rsidRPr="006C01DB">
              <w:rPr>
                <w:rFonts w:asciiTheme="majorBidi" w:hAnsiTheme="majorBidi" w:cstheme="majorBidi"/>
                <w:color w:val="000000"/>
                <w:sz w:val="20"/>
                <w:szCs w:val="20"/>
                <w:lang w:val="en-US"/>
              </w:rPr>
              <w:t>R Square (adjusted)</w:t>
            </w:r>
          </w:p>
        </w:tc>
        <w:tc>
          <w:tcPr>
            <w:tcW w:w="7470" w:type="dxa"/>
            <w:gridSpan w:val="5"/>
            <w:tcMar>
              <w:top w:w="0" w:type="dxa"/>
              <w:left w:w="115" w:type="dxa"/>
              <w:bottom w:w="0" w:type="dxa"/>
              <w:right w:w="115" w:type="dxa"/>
            </w:tcMar>
            <w:hideMark/>
          </w:tcPr>
          <w:p w14:paraId="075FCD6D" w14:textId="075655C2" w:rsidR="005B73B8" w:rsidRPr="006C01DB" w:rsidRDefault="005B73B8" w:rsidP="005B345A">
            <w:pPr>
              <w:rPr>
                <w:rFonts w:asciiTheme="majorBidi" w:hAnsiTheme="majorBidi" w:cstheme="majorBidi"/>
                <w:lang w:val="en-US"/>
              </w:rPr>
            </w:pPr>
            <w:r w:rsidRPr="006C01DB">
              <w:rPr>
                <w:rFonts w:asciiTheme="majorBidi" w:hAnsiTheme="majorBidi" w:cstheme="majorBidi"/>
                <w:color w:val="000000"/>
                <w:sz w:val="20"/>
                <w:szCs w:val="20"/>
                <w:lang w:val="en-US"/>
              </w:rPr>
              <w:t>0.</w:t>
            </w:r>
            <w:r w:rsidR="00537F12">
              <w:rPr>
                <w:rFonts w:asciiTheme="majorBidi" w:hAnsiTheme="majorBidi" w:cstheme="majorBidi"/>
                <w:color w:val="000000"/>
                <w:sz w:val="20"/>
                <w:szCs w:val="20"/>
                <w:lang w:val="en-US"/>
              </w:rPr>
              <w:t>104</w:t>
            </w:r>
          </w:p>
        </w:tc>
      </w:tr>
      <w:tr w:rsidR="005B73B8" w:rsidRPr="002E23CA" w14:paraId="5AAE64A0" w14:textId="77777777" w:rsidTr="005B345A">
        <w:tc>
          <w:tcPr>
            <w:tcW w:w="1890" w:type="dxa"/>
            <w:tcBorders>
              <w:bottom w:val="single" w:sz="4" w:space="0" w:color="000000"/>
            </w:tcBorders>
            <w:tcMar>
              <w:top w:w="0" w:type="dxa"/>
              <w:left w:w="115" w:type="dxa"/>
              <w:bottom w:w="0" w:type="dxa"/>
              <w:right w:w="115" w:type="dxa"/>
            </w:tcMar>
            <w:hideMark/>
          </w:tcPr>
          <w:p w14:paraId="3DE72907" w14:textId="77777777" w:rsidR="005B73B8" w:rsidRPr="006C01DB" w:rsidRDefault="005B73B8" w:rsidP="005B345A">
            <w:pPr>
              <w:jc w:val="both"/>
              <w:rPr>
                <w:rFonts w:asciiTheme="majorBidi" w:hAnsiTheme="majorBidi" w:cstheme="majorBidi"/>
                <w:lang w:val="en-US"/>
              </w:rPr>
            </w:pPr>
            <w:r>
              <w:rPr>
                <w:rFonts w:asciiTheme="majorBidi" w:hAnsiTheme="majorBidi" w:cstheme="majorBidi"/>
                <w:color w:val="000000"/>
                <w:sz w:val="20"/>
                <w:szCs w:val="20"/>
                <w:lang w:val="en-US"/>
              </w:rPr>
              <w:t>ANOVA</w:t>
            </w:r>
          </w:p>
        </w:tc>
        <w:tc>
          <w:tcPr>
            <w:tcW w:w="7470" w:type="dxa"/>
            <w:gridSpan w:val="5"/>
            <w:tcBorders>
              <w:bottom w:val="single" w:sz="4" w:space="0" w:color="000000"/>
            </w:tcBorders>
            <w:tcMar>
              <w:top w:w="0" w:type="dxa"/>
              <w:left w:w="115" w:type="dxa"/>
              <w:bottom w:w="0" w:type="dxa"/>
              <w:right w:w="115" w:type="dxa"/>
            </w:tcMar>
            <w:hideMark/>
          </w:tcPr>
          <w:p w14:paraId="681DCF81" w14:textId="07935F1D" w:rsidR="005B73B8" w:rsidRPr="006C01DB" w:rsidRDefault="00537F12" w:rsidP="005B345A">
            <w:pPr>
              <w:rPr>
                <w:rFonts w:asciiTheme="majorBidi" w:hAnsiTheme="majorBidi" w:cstheme="majorBidi"/>
                <w:lang w:val="en-US"/>
              </w:rPr>
            </w:pPr>
            <w:r>
              <w:rPr>
                <w:rFonts w:asciiTheme="majorBidi" w:hAnsiTheme="majorBidi" w:cstheme="majorBidi"/>
                <w:color w:val="000000"/>
                <w:sz w:val="20"/>
                <w:szCs w:val="20"/>
                <w:lang w:val="en-US"/>
              </w:rPr>
              <w:t>4.834</w:t>
            </w:r>
            <w:r w:rsidR="005B73B8" w:rsidRPr="006C01DB">
              <w:rPr>
                <w:rFonts w:asciiTheme="majorBidi" w:hAnsiTheme="majorBidi" w:cstheme="majorBidi"/>
                <w:color w:val="000000"/>
                <w:sz w:val="20"/>
                <w:szCs w:val="20"/>
                <w:lang w:val="en-US"/>
              </w:rPr>
              <w:t>****</w:t>
            </w:r>
            <w:r w:rsidR="005B73B8">
              <w:rPr>
                <w:rFonts w:asciiTheme="majorBidi" w:hAnsiTheme="majorBidi" w:cstheme="majorBidi"/>
                <w:color w:val="000000"/>
                <w:sz w:val="20"/>
                <w:szCs w:val="20"/>
                <w:lang w:val="en-US"/>
              </w:rPr>
              <w:t xml:space="preserve"> &gt; </w:t>
            </w:r>
            <w:r>
              <w:rPr>
                <w:rFonts w:asciiTheme="majorBidi" w:hAnsiTheme="majorBidi" w:cstheme="majorBidi"/>
                <w:color w:val="000000"/>
                <w:sz w:val="20"/>
                <w:szCs w:val="20"/>
                <w:lang w:val="en-US"/>
              </w:rPr>
              <w:t>2.70</w:t>
            </w:r>
            <w:r w:rsidR="005B73B8">
              <w:rPr>
                <w:rFonts w:asciiTheme="majorBidi" w:hAnsiTheme="majorBidi" w:cstheme="majorBidi"/>
                <w:color w:val="000000"/>
                <w:sz w:val="20"/>
                <w:szCs w:val="20"/>
                <w:lang w:val="en-US"/>
              </w:rPr>
              <w:t xml:space="preserve"> = H</w:t>
            </w:r>
            <w:r>
              <w:rPr>
                <w:rFonts w:asciiTheme="majorBidi" w:hAnsiTheme="majorBidi" w:cstheme="majorBidi"/>
                <w:color w:val="000000"/>
                <w:sz w:val="20"/>
                <w:szCs w:val="20"/>
                <w:lang w:val="en-US"/>
              </w:rPr>
              <w:t>4</w:t>
            </w:r>
            <w:r w:rsidR="005B73B8">
              <w:rPr>
                <w:rFonts w:asciiTheme="majorBidi" w:hAnsiTheme="majorBidi" w:cstheme="majorBidi"/>
                <w:color w:val="000000"/>
                <w:sz w:val="20"/>
                <w:szCs w:val="20"/>
                <w:lang w:val="en-US"/>
              </w:rPr>
              <w:t xml:space="preserve"> (+) Diterima</w:t>
            </w:r>
          </w:p>
        </w:tc>
      </w:tr>
      <w:tr w:rsidR="005B73B8" w:rsidRPr="006C01DB" w14:paraId="047BA9DF" w14:textId="77777777" w:rsidTr="005B345A">
        <w:tc>
          <w:tcPr>
            <w:tcW w:w="9360" w:type="dxa"/>
            <w:gridSpan w:val="6"/>
            <w:tcBorders>
              <w:top w:val="single" w:sz="4" w:space="0" w:color="000000"/>
              <w:bottom w:val="single" w:sz="4" w:space="0" w:color="000000"/>
            </w:tcBorders>
            <w:tcMar>
              <w:top w:w="0" w:type="dxa"/>
              <w:left w:w="115" w:type="dxa"/>
              <w:bottom w:w="0" w:type="dxa"/>
              <w:right w:w="115" w:type="dxa"/>
            </w:tcMar>
            <w:hideMark/>
          </w:tcPr>
          <w:p w14:paraId="6F572304" w14:textId="77777777" w:rsidR="005B73B8" w:rsidRPr="00743143" w:rsidRDefault="005B73B8" w:rsidP="005B345A">
            <w:pPr>
              <w:jc w:val="both"/>
              <w:rPr>
                <w:rFonts w:asciiTheme="majorBidi" w:hAnsiTheme="majorBidi" w:cstheme="majorBidi"/>
              </w:rPr>
            </w:pPr>
            <w:r w:rsidRPr="00743143">
              <w:rPr>
                <w:rFonts w:asciiTheme="majorBidi" w:hAnsiTheme="majorBidi" w:cstheme="majorBidi"/>
                <w:color w:val="000000"/>
                <w:sz w:val="20"/>
                <w:szCs w:val="20"/>
              </w:rPr>
              <w:t>Keterangan</w:t>
            </w:r>
            <w:r>
              <w:rPr>
                <w:rFonts w:asciiTheme="majorBidi" w:hAnsiTheme="majorBidi" w:cstheme="majorBidi"/>
                <w:color w:val="000000"/>
                <w:sz w:val="20"/>
                <w:szCs w:val="20"/>
                <w:lang w:val="en-US"/>
              </w:rPr>
              <w:t xml:space="preserve"> (</w:t>
            </w:r>
            <w:r w:rsidRPr="006C01DB">
              <w:rPr>
                <w:rFonts w:asciiTheme="majorBidi" w:hAnsiTheme="majorBidi" w:cstheme="majorBidi"/>
                <w:b/>
                <w:bCs/>
                <w:color w:val="000000"/>
                <w:sz w:val="20"/>
                <w:szCs w:val="20"/>
                <w:lang w:val="en-US"/>
              </w:rPr>
              <w:t>α</w:t>
            </w:r>
            <w:r>
              <w:rPr>
                <w:rFonts w:asciiTheme="majorBidi" w:hAnsiTheme="majorBidi" w:cstheme="majorBidi"/>
                <w:b/>
                <w:bCs/>
                <w:color w:val="000000"/>
                <w:sz w:val="20"/>
                <w:szCs w:val="20"/>
                <w:lang w:val="en-US"/>
              </w:rPr>
              <w:t xml:space="preserve">-alpha) </w:t>
            </w:r>
            <w:r w:rsidRPr="00743143">
              <w:rPr>
                <w:rFonts w:asciiTheme="majorBidi" w:hAnsiTheme="majorBidi" w:cstheme="majorBidi"/>
                <w:color w:val="000000"/>
                <w:sz w:val="20"/>
                <w:szCs w:val="20"/>
              </w:rPr>
              <w:t>: * = 0.10, ** = 0.05, ***0.01 dan 0.000****</w:t>
            </w:r>
          </w:p>
          <w:p w14:paraId="7CE748EF" w14:textId="3525213C" w:rsidR="005B73B8" w:rsidRPr="006E1B82" w:rsidRDefault="005B73B8" w:rsidP="005B345A">
            <w:pPr>
              <w:jc w:val="both"/>
              <w:rPr>
                <w:rFonts w:asciiTheme="majorBidi" w:hAnsiTheme="majorBidi" w:cstheme="majorBidi"/>
                <w:lang w:val="en-US"/>
              </w:rPr>
            </w:pPr>
            <w:r w:rsidRPr="00743143">
              <w:rPr>
                <w:rFonts w:asciiTheme="majorBidi" w:hAnsiTheme="majorBidi" w:cstheme="majorBidi"/>
                <w:color w:val="000000"/>
                <w:sz w:val="20"/>
                <w:szCs w:val="20"/>
              </w:rPr>
              <w:t xml:space="preserve">Variabel dependen: </w:t>
            </w:r>
            <w:r>
              <w:rPr>
                <w:rFonts w:asciiTheme="majorBidi" w:hAnsiTheme="majorBidi" w:cstheme="majorBidi"/>
                <w:color w:val="000000"/>
                <w:sz w:val="20"/>
                <w:szCs w:val="20"/>
                <w:lang w:val="en-US"/>
              </w:rPr>
              <w:t>NPM</w:t>
            </w:r>
            <w:r w:rsidRPr="00743143">
              <w:rPr>
                <w:rFonts w:asciiTheme="majorBidi" w:hAnsiTheme="majorBidi" w:cstheme="majorBidi"/>
                <w:color w:val="000000"/>
                <w:sz w:val="20"/>
                <w:szCs w:val="20"/>
              </w:rPr>
              <w:t xml:space="preserve"> (</w:t>
            </w:r>
            <w:r>
              <w:rPr>
                <w:rFonts w:asciiTheme="majorBidi" w:hAnsiTheme="majorBidi" w:cstheme="majorBidi"/>
                <w:color w:val="000000"/>
                <w:sz w:val="20"/>
                <w:szCs w:val="20"/>
                <w:lang w:val="en-US"/>
              </w:rPr>
              <w:t>Net Profit Margin</w:t>
            </w:r>
            <w:r w:rsidRPr="00743143">
              <w:rPr>
                <w:rFonts w:asciiTheme="majorBidi" w:hAnsiTheme="majorBidi" w:cstheme="majorBidi"/>
                <w:color w:val="000000"/>
                <w:sz w:val="20"/>
                <w:szCs w:val="20"/>
              </w:rPr>
              <w:t xml:space="preserve">), Variabel Independen : </w:t>
            </w:r>
            <w:r>
              <w:rPr>
                <w:rFonts w:asciiTheme="majorBidi" w:hAnsiTheme="majorBidi" w:cstheme="majorBidi"/>
                <w:color w:val="000000"/>
                <w:sz w:val="20"/>
                <w:szCs w:val="20"/>
                <w:lang w:val="en-US"/>
              </w:rPr>
              <w:t>CR</w:t>
            </w:r>
            <w:r w:rsidRPr="00743143">
              <w:rPr>
                <w:rFonts w:asciiTheme="majorBidi" w:hAnsiTheme="majorBidi" w:cstheme="majorBidi"/>
                <w:color w:val="000000"/>
                <w:sz w:val="20"/>
                <w:szCs w:val="20"/>
              </w:rPr>
              <w:t xml:space="preserve"> (</w:t>
            </w:r>
            <w:r>
              <w:rPr>
                <w:rFonts w:asciiTheme="majorBidi" w:hAnsiTheme="majorBidi" w:cstheme="majorBidi"/>
                <w:color w:val="000000"/>
                <w:sz w:val="20"/>
                <w:szCs w:val="20"/>
                <w:lang w:val="en-US"/>
              </w:rPr>
              <w:t>Current Ratio</w:t>
            </w:r>
            <w:r w:rsidRPr="00743143">
              <w:rPr>
                <w:rFonts w:asciiTheme="majorBidi" w:hAnsiTheme="majorBidi" w:cstheme="majorBidi"/>
                <w:color w:val="000000"/>
                <w:sz w:val="20"/>
                <w:szCs w:val="20"/>
              </w:rPr>
              <w:t xml:space="preserve">), </w:t>
            </w:r>
            <w:r w:rsidR="00537F12" w:rsidRPr="00537F12">
              <w:rPr>
                <w:rFonts w:asciiTheme="majorBidi" w:hAnsiTheme="majorBidi" w:cstheme="majorBidi"/>
                <w:color w:val="000000"/>
                <w:sz w:val="20"/>
                <w:szCs w:val="20"/>
                <w:lang w:val="en-US"/>
              </w:rPr>
              <w:t>DER</w:t>
            </w:r>
            <w:r w:rsidRPr="00537F12">
              <w:rPr>
                <w:rFonts w:asciiTheme="majorBidi" w:hAnsiTheme="majorBidi" w:cstheme="majorBidi"/>
                <w:color w:val="000000"/>
                <w:sz w:val="20"/>
                <w:szCs w:val="20"/>
              </w:rPr>
              <w:t xml:space="preserve"> (</w:t>
            </w:r>
            <w:r w:rsidR="00537F12" w:rsidRPr="00537F12">
              <w:rPr>
                <w:sz w:val="20"/>
                <w:szCs w:val="20"/>
              </w:rPr>
              <w:t>Debt to Asset Ratio</w:t>
            </w:r>
            <w:r w:rsidRPr="00537F12">
              <w:rPr>
                <w:rFonts w:asciiTheme="majorBidi" w:hAnsiTheme="majorBidi" w:cstheme="majorBidi"/>
                <w:color w:val="000000"/>
                <w:sz w:val="20"/>
                <w:szCs w:val="20"/>
              </w:rPr>
              <w:t>)</w:t>
            </w:r>
            <w:r w:rsidRPr="00537F12">
              <w:rPr>
                <w:rFonts w:asciiTheme="majorBidi" w:hAnsiTheme="majorBidi" w:cstheme="majorBidi"/>
                <w:color w:val="000000"/>
                <w:sz w:val="20"/>
                <w:szCs w:val="20"/>
                <w:lang w:val="en-US"/>
              </w:rPr>
              <w:t>,</w:t>
            </w:r>
            <w:r w:rsidR="00537F12" w:rsidRPr="00537F12">
              <w:rPr>
                <w:rFonts w:asciiTheme="majorBidi" w:hAnsiTheme="majorBidi" w:cstheme="majorBidi"/>
                <w:color w:val="000000"/>
                <w:sz w:val="20"/>
                <w:szCs w:val="20"/>
                <w:lang w:val="en-US"/>
              </w:rPr>
              <w:t xml:space="preserve"> </w:t>
            </w:r>
            <w:r w:rsidR="00537F12" w:rsidRPr="00537F12">
              <w:rPr>
                <w:sz w:val="20"/>
                <w:szCs w:val="20"/>
              </w:rPr>
              <w:t>dan Total Asset Turn Over (TATO)</w:t>
            </w:r>
          </w:p>
          <w:p w14:paraId="4FE5FC06" w14:textId="056F09AD" w:rsidR="005B73B8" w:rsidRDefault="005B73B8" w:rsidP="005B345A">
            <w:pPr>
              <w:jc w:val="both"/>
              <w:rPr>
                <w:rFonts w:asciiTheme="majorBidi" w:hAnsiTheme="majorBidi" w:cstheme="majorBidi"/>
                <w:color w:val="000000"/>
                <w:sz w:val="20"/>
                <w:szCs w:val="20"/>
                <w:lang w:val="en-US"/>
              </w:rPr>
            </w:pPr>
            <w:r w:rsidRPr="006C01DB">
              <w:rPr>
                <w:rFonts w:asciiTheme="majorBidi" w:hAnsiTheme="majorBidi" w:cstheme="majorBidi"/>
                <w:color w:val="000000"/>
                <w:sz w:val="20"/>
                <w:szCs w:val="20"/>
                <w:lang w:val="en-US"/>
              </w:rPr>
              <w:t xml:space="preserve">Jumlah </w:t>
            </w:r>
            <w:r>
              <w:rPr>
                <w:rFonts w:asciiTheme="majorBidi" w:hAnsiTheme="majorBidi" w:cstheme="majorBidi"/>
                <w:color w:val="000000"/>
                <w:sz w:val="20"/>
                <w:szCs w:val="20"/>
                <w:lang w:val="en-US"/>
              </w:rPr>
              <w:t>Populasi</w:t>
            </w:r>
            <w:r w:rsidRPr="006C01DB">
              <w:rPr>
                <w:rFonts w:asciiTheme="majorBidi" w:hAnsiTheme="majorBidi" w:cstheme="majorBidi"/>
                <w:color w:val="000000"/>
                <w:sz w:val="20"/>
                <w:szCs w:val="20"/>
                <w:lang w:val="en-US"/>
              </w:rPr>
              <w:t xml:space="preserve">: </w:t>
            </w:r>
            <w:r w:rsidR="00537F12">
              <w:rPr>
                <w:rFonts w:asciiTheme="majorBidi" w:hAnsiTheme="majorBidi" w:cstheme="majorBidi"/>
                <w:color w:val="000000"/>
                <w:sz w:val="20"/>
                <w:szCs w:val="20"/>
                <w:lang w:val="en-US"/>
              </w:rPr>
              <w:t>49</w:t>
            </w:r>
            <w:r>
              <w:rPr>
                <w:rFonts w:asciiTheme="majorBidi" w:hAnsiTheme="majorBidi" w:cstheme="majorBidi"/>
                <w:color w:val="000000"/>
                <w:sz w:val="20"/>
                <w:szCs w:val="20"/>
                <w:lang w:val="en-US"/>
              </w:rPr>
              <w:t xml:space="preserve"> Perusahaan</w:t>
            </w:r>
          </w:p>
          <w:p w14:paraId="45024E1E" w14:textId="2B1B9726" w:rsidR="005B73B8" w:rsidRPr="006C01DB" w:rsidRDefault="005B73B8" w:rsidP="005B345A">
            <w:pPr>
              <w:jc w:val="both"/>
              <w:rPr>
                <w:rFonts w:asciiTheme="majorBidi" w:hAnsiTheme="majorBidi" w:cstheme="majorBidi"/>
                <w:lang w:val="en-US"/>
              </w:rPr>
            </w:pPr>
            <w:r>
              <w:rPr>
                <w:rFonts w:asciiTheme="majorBidi" w:hAnsiTheme="majorBidi" w:cstheme="majorBidi"/>
                <w:color w:val="000000"/>
                <w:sz w:val="20"/>
                <w:szCs w:val="20"/>
                <w:lang w:val="en-US"/>
              </w:rPr>
              <w:t>Jumlah Sampel: 3</w:t>
            </w:r>
            <w:r w:rsidR="00537F12">
              <w:rPr>
                <w:rFonts w:asciiTheme="majorBidi" w:hAnsiTheme="majorBidi" w:cstheme="majorBidi"/>
                <w:color w:val="000000"/>
                <w:sz w:val="20"/>
                <w:szCs w:val="20"/>
                <w:lang w:val="en-US"/>
              </w:rPr>
              <w:t>1</w:t>
            </w:r>
            <w:r>
              <w:rPr>
                <w:rFonts w:asciiTheme="majorBidi" w:hAnsiTheme="majorBidi" w:cstheme="majorBidi"/>
                <w:color w:val="000000"/>
                <w:sz w:val="20"/>
                <w:szCs w:val="20"/>
                <w:lang w:val="en-US"/>
              </w:rPr>
              <w:t xml:space="preserve"> Perusahaan</w:t>
            </w:r>
          </w:p>
        </w:tc>
      </w:tr>
    </w:tbl>
    <w:p w14:paraId="25E5432E" w14:textId="12862A26" w:rsidR="006A64A5" w:rsidRDefault="005B73B8" w:rsidP="005B73B8">
      <w:pPr>
        <w:ind w:left="180"/>
        <w:jc w:val="center"/>
        <w:rPr>
          <w:lang w:val="en-US"/>
        </w:rPr>
      </w:pPr>
      <w:r w:rsidRPr="005B73B8">
        <w:rPr>
          <w:lang w:val="en-US"/>
        </w:rPr>
        <w:t>Sumber: Hasil Pengolahan Data dengan SPSS Ver. 25 (2023)</w:t>
      </w:r>
    </w:p>
    <w:p w14:paraId="1BE37266" w14:textId="77777777" w:rsidR="005B73B8" w:rsidRDefault="005B73B8" w:rsidP="005B73B8">
      <w:pPr>
        <w:ind w:left="180"/>
        <w:jc w:val="center"/>
        <w:rPr>
          <w:lang w:val="en-US"/>
        </w:rPr>
      </w:pPr>
    </w:p>
    <w:p w14:paraId="6DB29E89" w14:textId="77777777" w:rsidR="00605002" w:rsidRPr="00605002" w:rsidRDefault="00605002" w:rsidP="00605002">
      <w:pPr>
        <w:ind w:left="180"/>
        <w:jc w:val="both"/>
        <w:rPr>
          <w:lang w:val="en-US"/>
        </w:rPr>
      </w:pPr>
      <w:r w:rsidRPr="00605002">
        <w:rPr>
          <w:lang w:val="en-US"/>
        </w:rPr>
        <w:t>Analisis dampak variabel-variabel independen terhadap variabel dependen dalam penelitian ini menghasilkan temuan yang dapat diuraikan sebagai berikut:</w:t>
      </w:r>
    </w:p>
    <w:p w14:paraId="506B67DC" w14:textId="77777777" w:rsidR="00605002" w:rsidRPr="00605002" w:rsidRDefault="00605002" w:rsidP="00605002">
      <w:pPr>
        <w:ind w:left="180"/>
        <w:jc w:val="both"/>
        <w:rPr>
          <w:lang w:val="en-US"/>
        </w:rPr>
      </w:pPr>
      <w:r w:rsidRPr="00605002">
        <w:rPr>
          <w:lang w:val="en-US"/>
        </w:rPr>
        <w:t>Pertama, terkait Pengaruh Current Ratio terhadap Net Profit Margin, hasil uji t menunjukkan bahwa variabel Current Ratio tidak memiliki pengaruh yang signifikan secara parsial terhadap variabel Net Profit Margin pada perusahaan pertambangan yang terdaftar di BEI periode 2017 – 2021. Uji statistik t menunjukkan thitung &lt; ttabel, dan nilai signifikansi (0.342) lebih besar dari 0.05, sehingga Ho diterima dan Ha ditolak.</w:t>
      </w:r>
    </w:p>
    <w:p w14:paraId="0F0EA3B5" w14:textId="77777777" w:rsidR="00605002" w:rsidRPr="00605002" w:rsidRDefault="00605002" w:rsidP="00605002">
      <w:pPr>
        <w:ind w:left="180"/>
        <w:jc w:val="both"/>
        <w:rPr>
          <w:lang w:val="en-US"/>
        </w:rPr>
      </w:pPr>
      <w:r w:rsidRPr="00605002">
        <w:rPr>
          <w:lang w:val="en-US"/>
        </w:rPr>
        <w:t>Kedua, dalam konteks Pengaruh Debt to Asset Ratio terhadap Net Profit Margin, hasil uji t menunjukkan bahwa variabel Debt to Asset Ratio memiliki pengaruh yang signifikan secara parsial terhadap variabel Net Profit Margin. Uji statistik t menunjukkan thitung &lt; ttabel, dan nilai signifikansi (0.035) lebih kecil dari 0.05, sehingga Ho ditolak dan Ha diterima.</w:t>
      </w:r>
    </w:p>
    <w:p w14:paraId="1F63CEBB" w14:textId="77777777" w:rsidR="00605002" w:rsidRPr="00605002" w:rsidRDefault="00605002" w:rsidP="00605002">
      <w:pPr>
        <w:ind w:left="180"/>
        <w:jc w:val="both"/>
        <w:rPr>
          <w:lang w:val="en-US"/>
        </w:rPr>
      </w:pPr>
      <w:r w:rsidRPr="00605002">
        <w:rPr>
          <w:lang w:val="en-US"/>
        </w:rPr>
        <w:t>Ketiga, untuk Pengaruh Total Asset Turn Over terhadap Net Profit Margin, hasil uji t menunjukkan bahwa variabel Total Asset Turn Over tidak memiliki pengaruh yang signifikan secara parsial terhadap variabel Net Profit Margin pada perusahaan pertambangan yang terdaftar di BEI periode 2017 – 2021. Uji statistik t menunjukkan thitung &lt; ttabel, dan nilai signifikansi (0.349) lebih besar dari 0.05, sehingga Ho diterima dan Ha ditolak.</w:t>
      </w:r>
    </w:p>
    <w:p w14:paraId="1F5DD789" w14:textId="4E371211" w:rsidR="00605002" w:rsidRPr="00605002" w:rsidRDefault="00605002" w:rsidP="00605002">
      <w:pPr>
        <w:ind w:left="180"/>
        <w:jc w:val="both"/>
        <w:rPr>
          <w:lang w:val="en-US"/>
        </w:rPr>
      </w:pPr>
      <w:r w:rsidRPr="00605002">
        <w:rPr>
          <w:lang w:val="en-US"/>
        </w:rPr>
        <w:t>Selanjutnya, hasil uji Anova menunjukkan bahwa ketiga variabel bebas, yaitu Current Ratio, Debt to Asset Ratio, dan Total Asset Turn Over, secara simultan berpengaruh signifikan terhadap variabel Net Profit Margin pada perusahaan pertambangan yang terdaftar di BEI periode 2017 – 2021.</w:t>
      </w:r>
    </w:p>
    <w:p w14:paraId="7A89400A" w14:textId="6E22703E" w:rsidR="005B73B8" w:rsidRDefault="00605002" w:rsidP="00605002">
      <w:pPr>
        <w:ind w:left="180"/>
        <w:jc w:val="both"/>
        <w:rPr>
          <w:lang w:val="en-US"/>
        </w:rPr>
      </w:pPr>
      <w:r w:rsidRPr="00605002">
        <w:rPr>
          <w:lang w:val="en-US"/>
        </w:rPr>
        <w:t xml:space="preserve">Terakhir, berdasarkan hasil uji determinasi, variabel Current Ratio, Debt to Asset Ratio, dan Total Asset Turn Over secara bersama-sama mampu menjelaskan sekitar 13.1% dari variasi </w:t>
      </w:r>
      <w:r w:rsidRPr="00605002">
        <w:rPr>
          <w:lang w:val="en-US"/>
        </w:rPr>
        <w:lastRenderedPageBreak/>
        <w:t>Net Profit Margin pada perusahaan tambang yang terdaftar di BEI periode 2017 – 2021. Meskipun demikian, sisanya sekitar 86.9% dipengaruhi oleh faktor-faktor lain yang tidak dibahas dalam penelitian ini. Sehingga, dapat disimpulkan bahwa pengaruh variabel Current Ratio, Debt to Asset Ratio, dan Total Asset Turn Over terhadap Net Profit Margin pada perusahaan pertambangan bersifat kurang kuat.</w:t>
      </w:r>
    </w:p>
    <w:p w14:paraId="1B7FD2DF" w14:textId="77777777" w:rsidR="00BF21FD" w:rsidRDefault="00BF21FD" w:rsidP="00605002">
      <w:pPr>
        <w:ind w:left="180"/>
        <w:jc w:val="both"/>
        <w:rPr>
          <w:lang w:val="en-US"/>
        </w:rPr>
      </w:pPr>
    </w:p>
    <w:p w14:paraId="7807C614" w14:textId="4B408D6E" w:rsidR="00BF21FD" w:rsidRPr="00BF21FD" w:rsidRDefault="00BF21FD" w:rsidP="00605002">
      <w:pPr>
        <w:ind w:left="180"/>
        <w:jc w:val="both"/>
        <w:rPr>
          <w:b/>
          <w:bCs/>
          <w:lang w:val="en-US"/>
        </w:rPr>
      </w:pPr>
      <w:r w:rsidRPr="00BF21FD">
        <w:rPr>
          <w:b/>
          <w:bCs/>
          <w:i/>
          <w:iCs/>
          <w:lang w:val="en-US"/>
        </w:rPr>
        <w:t>Current Ratio</w:t>
      </w:r>
      <w:r w:rsidRPr="00BF21FD">
        <w:rPr>
          <w:b/>
          <w:bCs/>
          <w:lang w:val="en-US"/>
        </w:rPr>
        <w:t xml:space="preserve"> </w:t>
      </w:r>
      <w:r>
        <w:rPr>
          <w:b/>
          <w:bCs/>
          <w:lang w:val="en-US"/>
        </w:rPr>
        <w:t xml:space="preserve">Tidak </w:t>
      </w:r>
      <w:r w:rsidRPr="00BF21FD">
        <w:rPr>
          <w:b/>
          <w:bCs/>
          <w:lang w:val="en-US"/>
        </w:rPr>
        <w:t xml:space="preserve">Berpengaruh Terhadap </w:t>
      </w:r>
      <w:r w:rsidRPr="00BF21FD">
        <w:rPr>
          <w:b/>
          <w:bCs/>
          <w:i/>
          <w:iCs/>
          <w:lang w:val="en-US"/>
        </w:rPr>
        <w:t>Net Profit Margin</w:t>
      </w:r>
    </w:p>
    <w:p w14:paraId="3AFC8576" w14:textId="77777777" w:rsidR="001C7FE0" w:rsidRPr="001C7FE0" w:rsidRDefault="001C7FE0" w:rsidP="001C7FE0">
      <w:pPr>
        <w:ind w:left="180"/>
        <w:jc w:val="both"/>
        <w:rPr>
          <w:lang w:val="en-US"/>
        </w:rPr>
      </w:pPr>
      <w:r w:rsidRPr="001C7FE0">
        <w:rPr>
          <w:lang w:val="en-US"/>
        </w:rPr>
        <w:t>Pengaruh Current Ratio terhadap Net Profit Margin pada perusahaan tambang yang terdaftar di Bursa Efek Indonesia (BEI) periode 2017 – 2021 menarik perhatian para peneliti dan analis keuangan. Beberapa penelitian sebelumnya telah memberikan kontribusi dalam memahami hubungan antara Current Ratio (CR) dan Net Profit Margin (NPM). Hasil uji t yang dilaporkan oleh penelitian sebelumnya, seperti yang dilakukan oleh Anita Erari (2014), menunjukkan bahwa CR memiliki thitung 0.995, sedangkan ttabel sebesar 1.985. Dengan demikian, dapat disimpulkan bahwa Current Ratio tidak memiliki pengaruh yang signifikan secara parsial terhadap variabel Net Profit Margin (NPM) pada perusahaan pertambangan yang terdaftar di BEI periode 2017 – 2021.</w:t>
      </w:r>
    </w:p>
    <w:p w14:paraId="777D1F92" w14:textId="77777777" w:rsidR="001C7FE0" w:rsidRPr="001C7FE0" w:rsidRDefault="001C7FE0" w:rsidP="001C7FE0">
      <w:pPr>
        <w:ind w:left="180"/>
        <w:jc w:val="both"/>
        <w:rPr>
          <w:lang w:val="en-US"/>
        </w:rPr>
      </w:pPr>
      <w:r w:rsidRPr="001C7FE0">
        <w:rPr>
          <w:lang w:val="en-US"/>
        </w:rPr>
        <w:t>Anita Erari (2014) juga mencatat bahwa hasil uji t terhadap CR memiliki nilai signifikan sebesar 0.342, yang lebih besar dari 0.05. Dengan demikian, keputusan Ho diterima dan Ha ditolak. Dalam pandangan penelitian ini, hal ini mengindikasikan bahwa Current Ratio (CR) tidak memberikan dampak yang signifikan terhadap Net Profit Margin (NPM) secara parsial pada perusahaan pertambangan. Sebagaimana dikemukakan oleh Anita Erari, hasil ini konsisten dengan temuan bahwa CR memiliki pengaruh yang negatif dan signifikan terhadap Return On Asset (ROA) pada perusahaan tambang.</w:t>
      </w:r>
    </w:p>
    <w:p w14:paraId="723A7F07" w14:textId="77777777" w:rsidR="001C7FE0" w:rsidRPr="001C7FE0" w:rsidRDefault="001C7FE0" w:rsidP="001C7FE0">
      <w:pPr>
        <w:ind w:left="180"/>
        <w:jc w:val="both"/>
        <w:rPr>
          <w:lang w:val="en-US"/>
        </w:rPr>
      </w:pPr>
      <w:r w:rsidRPr="001C7FE0">
        <w:rPr>
          <w:lang w:val="en-US"/>
        </w:rPr>
        <w:t>Sumber lainnya, seperti penelitian yang dilakukan oleh Herman Supardi, H. Suratno, dan Suyanto (2016), juga memberikan perspektif serupa. Hasil penelitian mereka menunjukkan bahwa Current Ratio tidak memiliki pengaruh yang signifikan terhadap Return On Asset (ROA) secara parsial pada perusahaan manufaktur yang terdaftar di BEI. Dalam konteks ini, temuan serupa memberikan kejelasan bahwa hasil penelitian yang menunjukkan bahwa Current Ratio tidak berpengaruh signifikan terhadap profitabilitas tidak terbatas pada industri tertentu.</w:t>
      </w:r>
    </w:p>
    <w:p w14:paraId="267D1B8C" w14:textId="77777777" w:rsidR="001C7FE0" w:rsidRPr="001C7FE0" w:rsidRDefault="001C7FE0" w:rsidP="001C7FE0">
      <w:pPr>
        <w:ind w:left="180"/>
        <w:jc w:val="both"/>
        <w:rPr>
          <w:lang w:val="en-US"/>
        </w:rPr>
      </w:pPr>
      <w:r w:rsidRPr="001C7FE0">
        <w:rPr>
          <w:lang w:val="en-US"/>
        </w:rPr>
        <w:t>Fitri Linda Rahmawati (2011) dan M. Firza Alpi, dan Ade Gunawan (2018) juga menambahkan dimensi pada pemahaman ini. Hasil penelitian keduanya menunjukkan bahwa Current Ratio memiliki pengaruh yang negatif dan tidak signifikan terhadap Return On Asset (ROA) pada perusahaan food and beverage serta perusahaan plastik dan kemasan yang terdaftar di BEI. Meskipun hasil penelitian tersebut berfokus pada ROA, namun temuan ini memberikan kontribusi dalam memahami bahwa Current Ratio tidak selalu menjadi indikator yang kuat dalam menjelaskan profitabilitas suatu perusahaan.</w:t>
      </w:r>
    </w:p>
    <w:p w14:paraId="60A64EB0" w14:textId="313633B3" w:rsidR="00BF21FD" w:rsidRDefault="001C7FE0" w:rsidP="001C7FE0">
      <w:pPr>
        <w:ind w:left="180"/>
        <w:jc w:val="both"/>
        <w:rPr>
          <w:lang w:val="en-US"/>
        </w:rPr>
      </w:pPr>
      <w:r w:rsidRPr="001C7FE0">
        <w:rPr>
          <w:lang w:val="en-US"/>
        </w:rPr>
        <w:t>Secara keseluruhan, temuan yang menunjukkan bahwa Current Ratio tidak berpengaruh secara signifikan terhadap Net Profit Margin (NPM) pada perusahaan tambang sejalan dengan pandangan beberapa peneliti lain. Hal ini memperkaya diskusi mengenai peran Current Ratio dalam konteks profitabilitas perusahaan dan mengajak untuk lebih cermat dalam mengevaluasi faktor-faktor yang memengaruhi kinerja keuangan.</w:t>
      </w:r>
    </w:p>
    <w:p w14:paraId="0D779E4D" w14:textId="77777777" w:rsidR="001C7FE0" w:rsidRDefault="001C7FE0" w:rsidP="001C7FE0">
      <w:pPr>
        <w:ind w:left="180"/>
        <w:jc w:val="both"/>
        <w:rPr>
          <w:lang w:val="en-US"/>
        </w:rPr>
      </w:pPr>
    </w:p>
    <w:p w14:paraId="05AAA159" w14:textId="3AE1F28A" w:rsidR="00BF21FD" w:rsidRPr="00BF21FD" w:rsidRDefault="00BF21FD" w:rsidP="00BF21FD">
      <w:pPr>
        <w:ind w:left="180"/>
        <w:jc w:val="both"/>
        <w:rPr>
          <w:b/>
          <w:bCs/>
          <w:lang w:val="en-US"/>
        </w:rPr>
      </w:pPr>
      <w:r w:rsidRPr="00BF21FD">
        <w:rPr>
          <w:b/>
          <w:bCs/>
          <w:i/>
          <w:iCs/>
        </w:rPr>
        <w:t>Debt to Asset Ratio</w:t>
      </w:r>
      <w:r w:rsidRPr="00BF21FD">
        <w:rPr>
          <w:b/>
          <w:bCs/>
          <w:lang w:val="en-US"/>
        </w:rPr>
        <w:t xml:space="preserve"> Berpengaruh Terhadap </w:t>
      </w:r>
      <w:r w:rsidRPr="00BF21FD">
        <w:rPr>
          <w:b/>
          <w:bCs/>
          <w:i/>
          <w:iCs/>
          <w:lang w:val="en-US"/>
        </w:rPr>
        <w:t>Net Profit Margin</w:t>
      </w:r>
    </w:p>
    <w:p w14:paraId="7BB09FB0" w14:textId="77777777" w:rsidR="00B37C1F" w:rsidRDefault="00B37C1F" w:rsidP="00B37C1F">
      <w:pPr>
        <w:ind w:left="180"/>
        <w:jc w:val="both"/>
      </w:pPr>
      <w:r>
        <w:t xml:space="preserve">Debt to Asset Ratio (DAR) menjadi perhatian utama dalam analisis pengaruhnya terhadap Net Profit Margin (NPM) pada perusahaan tambang yang terdaftar di Bursa Efek Indonesia (BEI) periode 2017 – 2021. Temuan hasil penelitian menarik perhatian, terutama karena adanya kesesuaian dengan pandangan beberapa pakar dan peneliti di bidang keuangan. </w:t>
      </w:r>
      <w:r>
        <w:lastRenderedPageBreak/>
        <w:t>Menurut sumber referensi yang dikutip, Debt to Asset Ratio (DAR) memang memiliki dampak yang signifikan terhadap Net Profit Margin (NPM).</w:t>
      </w:r>
    </w:p>
    <w:p w14:paraId="736DFC4E" w14:textId="77777777" w:rsidR="00B37C1F" w:rsidRDefault="00B37C1F" w:rsidP="00B37C1F">
      <w:pPr>
        <w:ind w:left="180"/>
        <w:jc w:val="both"/>
      </w:pPr>
      <w:r>
        <w:t>Anita Erari (2014) memberikan kontribusi penting dalam pemahaman ini. Hasil uji t yang dilaporkan dalam penelitiannya menunjukkan bahwa Debt to Asset Ratio (X2) memiliki thitung sebesar – 2.134, sedangkan ttabel sebesar 1.985. Keputusan Ho pun dapat diambil, yaitu Ho ditolak dan Ha diterima. Selanjutnya, nilai signifikan Debt to Asset Ratio (X2) sebesar 0.035, yang lebih kecil dari 0.05, menunjukkan bahwa Ho juga ditolak dan Ha diterima. Dengan demikian, dapat disimpulkan bahwa Debt to Asset Ratio (DAR) memiliki pengaruh yang signifikan secara parsial terhadap Net Profit Margin (NPM) pada perusahaan tambang yang terdaftar di BEI periode 2017 – 2021. Hipotesis H2 yang diajukan teruji, terbukti benar, dan dapat diterima.</w:t>
      </w:r>
    </w:p>
    <w:p w14:paraId="76C85EA2" w14:textId="77777777" w:rsidR="00B37C1F" w:rsidRDefault="00B37C1F" w:rsidP="00B37C1F">
      <w:pPr>
        <w:ind w:left="180"/>
        <w:jc w:val="both"/>
      </w:pPr>
      <w:r>
        <w:t>Temuan ini sejalan dengan hasil penelitian Azzazila Feronicha Wianata Efendi dan Seto Sulaksono Adi Wibowo (2017) yang menyebutkan bahwa Debt to Asset Ratio (DAR) berpengaruh positif dan signifikan terhadap Return on Asset (ROA) pada sektor keuangan yang terdaftar di BEI. Meskipun penelitian ini tidak secara langsung berkaitan dengan NPM, namun kesesuaian hasil menunjukkan bahwa Debt to Asset Ratio (DAR) memang memiliki dampak yang signifikan terhadap kinerja keuangan perusahaan.</w:t>
      </w:r>
    </w:p>
    <w:p w14:paraId="4EC2531C" w14:textId="77777777" w:rsidR="00B37C1F" w:rsidRDefault="00B37C1F" w:rsidP="00B37C1F">
      <w:pPr>
        <w:ind w:left="180"/>
        <w:jc w:val="both"/>
      </w:pPr>
      <w:r>
        <w:t>Dalam kerangka penelitian yang lebih luas, Herman Supardi, H. Suratno, dan Suyanto (2016) juga memberikan perspektif bahwa Debt to Asset Ratio (DAR) memiliki pengaruh yang signifikan terhadap Return on Asset (ROA) pada perusahaan manufaktur yang terdaftar di BEI. Hasil penelitian ini, yang secara simultan mempertimbangkan beberapa rasio keuangan, memberikan dukungan tambahan terhadap temuan bahwa Debt to Asset Ratio (DAR) bukan hanya berpengaruh secara parsial tetapi juga secara keseluruhan terhadap kinerja keuangan perusahaan.</w:t>
      </w:r>
    </w:p>
    <w:p w14:paraId="3B39FE6A" w14:textId="361CA684" w:rsidR="00BF21FD" w:rsidRDefault="00B37C1F" w:rsidP="00B37C1F">
      <w:pPr>
        <w:ind w:left="180"/>
        <w:jc w:val="both"/>
      </w:pPr>
      <w:r>
        <w:t>Sehingga, hasil temuan penelitian dan pandangan beberapa pakar keuangan secara konsisten menunjukkan bahwa Debt to Asset Ratio (DAR) memiliki pengaruh yang signifikan terhadap Net Profit Margin (NPM) pada perusahaan tambang. Temuan ini memberikan wawasan penting bagi praktisi, analis keuangan, dan pengambil kebijakan dalam memahami faktor-faktor yang memengaruhi profitabilitas perusahaan di sektor ini.</w:t>
      </w:r>
    </w:p>
    <w:p w14:paraId="4B42CD0E" w14:textId="77777777" w:rsidR="00B37C1F" w:rsidRDefault="00B37C1F" w:rsidP="00B37C1F">
      <w:pPr>
        <w:ind w:left="180"/>
        <w:jc w:val="both"/>
      </w:pPr>
    </w:p>
    <w:p w14:paraId="5F865823" w14:textId="0D6D9C22" w:rsidR="00BF21FD" w:rsidRDefault="00BF21FD" w:rsidP="00BF21FD">
      <w:pPr>
        <w:ind w:left="180"/>
        <w:jc w:val="both"/>
        <w:rPr>
          <w:b/>
          <w:bCs/>
          <w:i/>
          <w:iCs/>
          <w:lang w:val="en-US"/>
        </w:rPr>
      </w:pPr>
      <w:r w:rsidRPr="00BF21FD">
        <w:rPr>
          <w:b/>
          <w:bCs/>
          <w:i/>
          <w:iCs/>
        </w:rPr>
        <w:t>Total Asset Turn Over</w:t>
      </w:r>
      <w:r>
        <w:rPr>
          <w:lang w:val="en-US"/>
        </w:rPr>
        <w:t xml:space="preserve"> </w:t>
      </w:r>
      <w:r>
        <w:rPr>
          <w:b/>
          <w:bCs/>
          <w:lang w:val="en-US"/>
        </w:rPr>
        <w:t xml:space="preserve">Tidak </w:t>
      </w:r>
      <w:r w:rsidRPr="00BF21FD">
        <w:rPr>
          <w:b/>
          <w:bCs/>
          <w:lang w:val="en-US"/>
        </w:rPr>
        <w:t xml:space="preserve">Berpengaruh Terhadap </w:t>
      </w:r>
      <w:r w:rsidRPr="00BF21FD">
        <w:rPr>
          <w:b/>
          <w:bCs/>
          <w:i/>
          <w:iCs/>
          <w:lang w:val="en-US"/>
        </w:rPr>
        <w:t>Net Profit Margin</w:t>
      </w:r>
    </w:p>
    <w:p w14:paraId="33F3CF2A" w14:textId="77777777" w:rsidR="00B37C1F" w:rsidRPr="00B37C1F" w:rsidRDefault="00B37C1F" w:rsidP="00B37C1F">
      <w:pPr>
        <w:ind w:left="180"/>
        <w:jc w:val="both"/>
        <w:rPr>
          <w:lang w:val="en-US"/>
        </w:rPr>
      </w:pPr>
      <w:r w:rsidRPr="00B37C1F">
        <w:rPr>
          <w:lang w:val="en-US"/>
        </w:rPr>
        <w:t>Total Asset Turn Over (TATO) menjadi fokus utama dalam penelitian dampaknya terhadap Net Profit Margin (NPM) pada perusahaan tambang di Bursa Efek Indonesia (BEI) periode 2017 – 2021. Hasil temuan ini memiliki konsistensi dengan pandangan beberapa pakar dan peneliti di bidang keuangan. Menurut sumber referensi yang dikutip, Total Asset Turn Over (TATO) memang memiliki dampak yang signifikan terhadap Net Profit Margin (NPM).</w:t>
      </w:r>
    </w:p>
    <w:p w14:paraId="01C6BFA6" w14:textId="26F19803" w:rsidR="00B37C1F" w:rsidRPr="00B37C1F" w:rsidRDefault="00B37C1F" w:rsidP="00B37C1F">
      <w:pPr>
        <w:ind w:left="180"/>
        <w:jc w:val="both"/>
        <w:rPr>
          <w:lang w:val="en-US"/>
        </w:rPr>
      </w:pPr>
      <w:r w:rsidRPr="00B37C1F">
        <w:rPr>
          <w:lang w:val="en-US"/>
        </w:rPr>
        <w:t>Hasil uji t yang dilaporkan dalam penelitian menunjukkan bahwa Total Asset Turn Over memiliki thitung sebesar 0.941, sedangkan ttabel sebesar 1.985. Keputusan Ho dapat diambil, yaitu Ho diterima dan Ha ditolak. Selanjutnya, nilai signifikan Total Asset Turn Over</w:t>
      </w:r>
      <w:r>
        <w:rPr>
          <w:lang w:val="en-US"/>
        </w:rPr>
        <w:t xml:space="preserve"> </w:t>
      </w:r>
      <w:r w:rsidRPr="00B37C1F">
        <w:rPr>
          <w:lang w:val="en-US"/>
        </w:rPr>
        <w:t>sebesar 0.349, yang lebih besar dari 0.05, menunjukkan bahwa Ho juga diterima dan Ha ditolak. Dengan demikian, dapat disimpulkan bahwa Total Asset Turn Over (TATO) tidak memiliki pengaruh yang signifikan secara parsial terhadap Net Profit Margin (NPM) pada perusahaan pertambangan yang terdaftar di BEI periode 2017 – 2021. Hipotesis H3 yang diajukan tidak dapat diterima.</w:t>
      </w:r>
    </w:p>
    <w:p w14:paraId="2CB50834" w14:textId="77777777" w:rsidR="00B37C1F" w:rsidRPr="00B37C1F" w:rsidRDefault="00B37C1F" w:rsidP="00B37C1F">
      <w:pPr>
        <w:ind w:left="180"/>
        <w:jc w:val="both"/>
        <w:rPr>
          <w:lang w:val="en-US"/>
        </w:rPr>
      </w:pPr>
      <w:r w:rsidRPr="00B37C1F">
        <w:rPr>
          <w:lang w:val="en-US"/>
        </w:rPr>
        <w:t xml:space="preserve">Namun, hasil ini mungkin menimbulkan pertanyaan dan perbandingan dengan pandangan beberapa pakar keuangan. Secara khusus, M. Firza Alpi dan Ade Gunawan (2018) memberikan perspektif bahwa Total Asset Turn Over (TATO) berpengaruh positif dan signifikan terhadap Return on Asset (ROA) pada perusahaan plastik dan kemasan yang </w:t>
      </w:r>
      <w:r w:rsidRPr="00B37C1F">
        <w:rPr>
          <w:lang w:val="en-US"/>
        </w:rPr>
        <w:lastRenderedPageBreak/>
        <w:t>terdaftar di BEI periode 2012 – 2016. Meskipun penelitian ini tidak secara langsung berkaitan dengan NPM, namun kesesuaian hasil menunjukkan bahwa Total Asset Turn Over (TATO) dapat memiliki dampak positif terhadap kinerja keuangan perusahaan.</w:t>
      </w:r>
    </w:p>
    <w:p w14:paraId="380F1602" w14:textId="77777777" w:rsidR="00B37C1F" w:rsidRPr="00B37C1F" w:rsidRDefault="00B37C1F" w:rsidP="00B37C1F">
      <w:pPr>
        <w:ind w:left="180"/>
        <w:jc w:val="both"/>
        <w:rPr>
          <w:lang w:val="en-US"/>
        </w:rPr>
      </w:pPr>
      <w:r w:rsidRPr="00B37C1F">
        <w:rPr>
          <w:lang w:val="en-US"/>
        </w:rPr>
        <w:t>Pandangan yang lebih luas dari Herman Supardi, H. Suratno, dan Suyanto (2016) yang mencakup beberapa rasio keuangan juga mendukung pandangan bahwa Total Asset Turn Over (TATO) memiliki pengaruh yang signifikan terhadap Return on Asset (ROA) pada perusahaan manufaktur yang terdaftar di BEI. Meskipun ROA tidak sama dengan NPM, konsistensi temuan ini memberikan wawasan tambahan bahwa Total Asset Turn Over (TATO) memang dapat memengaruhi kinerja keuangan secara signifikan.</w:t>
      </w:r>
    </w:p>
    <w:p w14:paraId="71CCBCFE" w14:textId="711FBD50" w:rsidR="00BF21FD" w:rsidRPr="00B37C1F" w:rsidRDefault="00B37C1F" w:rsidP="00B37C1F">
      <w:pPr>
        <w:ind w:left="180"/>
        <w:jc w:val="both"/>
        <w:rPr>
          <w:lang w:val="en-US"/>
        </w:rPr>
      </w:pPr>
      <w:r w:rsidRPr="00B37C1F">
        <w:rPr>
          <w:lang w:val="en-US"/>
        </w:rPr>
        <w:t>Jadi, meskipun temuan penelitian ini menyatakan bahwa Total Asset Turn Over (TATO) tidak memiliki pengaruh yang signifikan secara parsial terhadap Net Profit Margin (NPM), penting untuk diingat bahwa aspek ini mungkin dapat berbeda-beda tergantung pada sektor industri dan karakteristik masing-masing perusahaan. Temuan ini memberikan sumbangan unik dalam pemahaman terkait dengan variabilitas dampak Total Asset Turn Over (TATO) terhadap Net Profit Margin (NPM) pada perusahaan tambang di BEI periode 2017 – 2021.</w:t>
      </w:r>
    </w:p>
    <w:p w14:paraId="6C780D16" w14:textId="77777777" w:rsidR="00B37C1F" w:rsidRPr="00B37C1F" w:rsidRDefault="00B37C1F" w:rsidP="00B37C1F">
      <w:pPr>
        <w:ind w:left="180"/>
        <w:jc w:val="both"/>
        <w:rPr>
          <w:lang w:val="en-US"/>
        </w:rPr>
      </w:pPr>
    </w:p>
    <w:p w14:paraId="2A84AEE0" w14:textId="121C8135" w:rsidR="00BF21FD" w:rsidRPr="00BF21FD" w:rsidRDefault="00BF21FD" w:rsidP="00BF21FD">
      <w:pPr>
        <w:ind w:left="180"/>
        <w:jc w:val="both"/>
        <w:rPr>
          <w:b/>
          <w:bCs/>
          <w:lang w:val="en-US"/>
        </w:rPr>
      </w:pPr>
      <w:r w:rsidRPr="00BF21FD">
        <w:rPr>
          <w:b/>
          <w:bCs/>
          <w:lang w:val="en-US"/>
        </w:rPr>
        <w:t xml:space="preserve">CR, DER, TATO </w:t>
      </w:r>
      <w:r w:rsidRPr="00BF21FD">
        <w:rPr>
          <w:b/>
          <w:bCs/>
          <w:lang w:val="en-US"/>
        </w:rPr>
        <w:t xml:space="preserve">Secara Simultan Berpengaruh Terhadap </w:t>
      </w:r>
      <w:r w:rsidRPr="00BF21FD">
        <w:rPr>
          <w:b/>
          <w:bCs/>
          <w:lang w:val="en-US"/>
        </w:rPr>
        <w:t>NPM</w:t>
      </w:r>
    </w:p>
    <w:p w14:paraId="572AA526" w14:textId="77777777" w:rsidR="00B27652" w:rsidRDefault="00B27652" w:rsidP="00B27652">
      <w:pPr>
        <w:ind w:left="180"/>
        <w:jc w:val="both"/>
      </w:pPr>
      <w:r>
        <w:t>Current Ratio (CR), Debt to Asset Ratio (DAR), dan Total Asset Turn Over (TATO) merupakan fokus utama dalam penelitian dampaknya secara simultan terhadap Net Profit Margin (NPM) pada perusahaan tambang di Bursa Efek Indonesia (BEI) periode 2017 – 2021. Hasil temuan ini mendukung pandangan beberapa pakar dan peneliti di bidang keuangan, yang telah meneliti dampak rasio keuangan terhadap kinerja perusahaan.</w:t>
      </w:r>
    </w:p>
    <w:p w14:paraId="388A2AD2" w14:textId="77777777" w:rsidR="00B27652" w:rsidRDefault="00B27652" w:rsidP="00B27652">
      <w:pPr>
        <w:ind w:left="180"/>
        <w:jc w:val="both"/>
      </w:pPr>
      <w:r>
        <w:t>Berdasarkan hasil uji ANOVA, dapat diketahui bahwa nilai Fhitung sebesar 4.834, sedangkan nilai Ftabel sebesar 2.70. Dari perbandingan ini, dapat disimpulkan bahwa Fhitung &gt; Ftabel atau 4.834 &gt; 2.70. Dengan demikian, keputusan Ho ditolak dan Ha diterima. Lebih lanjut, hasil uji ANOVA juga menunjukkan bahwa nilai signifikansi sebesar 0.004, yang lebih kecil dari 0.05. Artinya, Ho ditolak dan Ha diterima. Dengan demikian, dapat disimpulkan bahwa variabel Current Ratio (CR), Debt to Asset Ratio (DAR), dan Total Asset Turn Over (TATO) secara simultan berpengaruh signifikan terhadap variabel Net Profit Margin (NPM) pada perusahaan pertambangan yang terdaftar di BEI periode 2017 – 2021. Hipotesis yang diajukan telah terbukti dan dapat diterima.</w:t>
      </w:r>
    </w:p>
    <w:p w14:paraId="482B1ACD" w14:textId="77777777" w:rsidR="00B27652" w:rsidRDefault="00B27652" w:rsidP="00B27652">
      <w:pPr>
        <w:ind w:left="180"/>
        <w:jc w:val="both"/>
      </w:pPr>
      <w:r>
        <w:t>Wenny Anggeresia Ginting (2018) menemukan hasil serupa dalam penelitiannya mengenai perusahaan properti dan real estate yang terdaftar di BEI periode 2012 – 2018. Penelitian tersebut menunjukkan bahwa secara simultan, Current Ratio (CR), Working Capital Turn Over (WCTO), dan Total Asset Turn Over (TATO) memiliki pengaruh yang signifikan dan positif terhadap Return on Asset (ROA). Meskipun sebagian variabel secara parsial berpengaruh berbeda, temuan ini memberikan kontribusi yang sejalan dengan penelitian mengenai perusahaan tambang.</w:t>
      </w:r>
    </w:p>
    <w:p w14:paraId="52FB8A3C" w14:textId="77777777" w:rsidR="00B27652" w:rsidRDefault="00B27652" w:rsidP="00B27652">
      <w:pPr>
        <w:ind w:left="180"/>
        <w:jc w:val="both"/>
      </w:pPr>
      <w:r>
        <w:t>Dalam konteks industri plastik dan kemasan, M. Firza Alpi dan Ade Gunawan (2018) menemukan bahwa secara simultan Current Ratio (CR) dan Total Asset Turn Over (TATO) berpengaruh signifikan terhadap Return on Asset (ROA) pada perusahaan plastik dan kemasan yang terdaftar di BEI periode 2012 – 2016. Temuan ini memberikan pemahaman tambahan bahwa variabel-variabel tersebut dapat memiliki dampak bersama terhadap kinerja keuangan perusahaan.</w:t>
      </w:r>
    </w:p>
    <w:p w14:paraId="03A1A568" w14:textId="77777777" w:rsidR="00B27652" w:rsidRDefault="00B27652" w:rsidP="00B27652">
      <w:pPr>
        <w:ind w:left="180"/>
        <w:jc w:val="both"/>
      </w:pPr>
      <w:r>
        <w:t xml:space="preserve">Dari hasil penelitian Herman Supardi, H. Suratno, dan Suyanto (2016) yang melibatkan beberapa rasio keuangan, termasuk Current Ratio (CR), Debt to Asset Ratio (DAR), dan Total Asset Turn Over (TATO), juga mendukung temuan ini. Penelitian ini menunjukkan bahwa </w:t>
      </w:r>
      <w:r>
        <w:lastRenderedPageBreak/>
        <w:t>secara simultan CR, DAR, TATO, dan Inflasi memiliki pengaruh yang signifikan terhadap Return on Asset (ROA) pada perusahaan manufaktur yang terdaftar di BEI.</w:t>
      </w:r>
    </w:p>
    <w:p w14:paraId="2812C255" w14:textId="72AF8A7E" w:rsidR="005B73B8" w:rsidRDefault="00B27652" w:rsidP="00B27652">
      <w:pPr>
        <w:ind w:left="180"/>
        <w:jc w:val="both"/>
      </w:pPr>
      <w:r>
        <w:t>Dengan demikian, keseluruhan hasil temuan ini memberikan kontribusi penting dalam pemahaman dampak simultan dari Current Ratio (CR), Debt to Asset Ratio (DAR), dan Total Asset Turn Over (TATO) terhadap Net Profit Margin (NPM) pada perusahaan tambang di BEI periode 2017 – 2021. Temuan ini dapat memberikan panduan bagi para pelaku industri dan peneliti keuangan untuk mengoptimalkan kinerja keuangan perusahaan mereka.Secara keseluruhan, hasil uji ANOVA dalam penelitian ini mengkonfirmasi bahwa Current Ratio (CR), Debt to Asset Ratio (DAR), dan Total Asset Turn Over (TATO) secara simultan berpengaruh signifikan terhadap Net Profit Margin (NPM) pada perusahaan tambang yang terdaftar di BEI periode 2017 – 2021. Temuan ini sejalan dengan pandangan beberapa pakar keuangan dan peneliti, yang memberikan perspektif bahwa kombinasi rasio keuangan dapat menjadi indikator yang kuat untuk mengevaluasi kinerja keuangan perusahaan secara menyeluruh.</w:t>
      </w:r>
    </w:p>
    <w:p w14:paraId="48280A81" w14:textId="77777777" w:rsidR="00B27652" w:rsidRPr="006A64A5" w:rsidRDefault="00B27652" w:rsidP="00B27652">
      <w:pPr>
        <w:ind w:left="180"/>
        <w:jc w:val="both"/>
      </w:pPr>
    </w:p>
    <w:p w14:paraId="6B7ABB24" w14:textId="79D3E629" w:rsidR="00D23798" w:rsidRDefault="00000000">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SIMPULAN</w:t>
      </w:r>
    </w:p>
    <w:p w14:paraId="07306C75" w14:textId="77777777" w:rsidR="00840CB3" w:rsidRPr="00840CB3" w:rsidRDefault="00840CB3" w:rsidP="00840CB3"/>
    <w:p w14:paraId="4D427957" w14:textId="77777777" w:rsidR="00B27652" w:rsidRPr="00B27652" w:rsidRDefault="00B27652" w:rsidP="00B27652">
      <w:pPr>
        <w:pBdr>
          <w:top w:val="nil"/>
          <w:left w:val="nil"/>
          <w:bottom w:val="nil"/>
          <w:right w:val="nil"/>
          <w:between w:val="nil"/>
        </w:pBdr>
        <w:ind w:left="180"/>
        <w:jc w:val="both"/>
        <w:rPr>
          <w:color w:val="000000"/>
        </w:rPr>
      </w:pPr>
      <w:r w:rsidRPr="00B27652">
        <w:rPr>
          <w:color w:val="000000"/>
        </w:rPr>
        <w:t>Penelitian ini bertujuan untuk menginvestigasi pengaruh Current Ratio (CR), Debt to Asset Ratio (DAR), dan Total Asset Turn Over (TATO) terhadap Net Profit Margin (NPM) pada perusahaan tambang yang terdaftar di Bursa Efek Indonesia periode 2017-2021. Berdasarkan hasil penelitian, beberapa simpulan dapat diambil.</w:t>
      </w:r>
    </w:p>
    <w:p w14:paraId="4CAC76E2" w14:textId="77777777" w:rsidR="00B27652" w:rsidRPr="00B27652" w:rsidRDefault="00B27652" w:rsidP="00B27652">
      <w:pPr>
        <w:pBdr>
          <w:top w:val="nil"/>
          <w:left w:val="nil"/>
          <w:bottom w:val="nil"/>
          <w:right w:val="nil"/>
          <w:between w:val="nil"/>
        </w:pBdr>
        <w:ind w:left="180"/>
        <w:jc w:val="both"/>
        <w:rPr>
          <w:color w:val="000000"/>
        </w:rPr>
      </w:pPr>
      <w:r w:rsidRPr="00B27652">
        <w:rPr>
          <w:color w:val="000000"/>
        </w:rPr>
        <w:t>Analisis statistik menunjukkan bahwa secara simultan, CR, DAR, dan TATO berpengaruh signifikan terhadap NPM pada perusahaan tambang. Uji ANOVA menunjukkan bahwa nilai Fhitung sebesar 4.834, sedangkan nilai Ftabel sebesar 2.70. Hasil perbandingan tersebut menunjukkan bahwa Fhitung &gt; Ftabel atau 4.834 &gt; 2.70. Dengan demikian, dapat disimpulkan bahwa variabel CR, DAR, dan TATO secara bersama-sama berpengaruh signifikan terhadap variabel NPM.</w:t>
      </w:r>
    </w:p>
    <w:p w14:paraId="796FE084" w14:textId="77777777" w:rsidR="00B27652" w:rsidRPr="00B27652" w:rsidRDefault="00B27652" w:rsidP="00B27652">
      <w:pPr>
        <w:pBdr>
          <w:top w:val="nil"/>
          <w:left w:val="nil"/>
          <w:bottom w:val="nil"/>
          <w:right w:val="nil"/>
          <w:between w:val="nil"/>
        </w:pBdr>
        <w:ind w:left="180"/>
        <w:jc w:val="both"/>
        <w:rPr>
          <w:color w:val="000000"/>
        </w:rPr>
      </w:pPr>
      <w:r w:rsidRPr="00B27652">
        <w:rPr>
          <w:color w:val="000000"/>
        </w:rPr>
        <w:t>Temuan ini konsisten dengan penelitian Wenny Anggeresia Ginting (2018) mengenai perusahaan properti dan real estate, yang menunjukkan bahwa CR, Working Capital Turn Over (WCTO), dan TATO secara simultan memiliki pengaruh yang signifikan dan positif terhadap Return on Asset (ROA). Sementara itu, penelitian M. Firza Alpi dan Ade Gunawan (2018) pada perusahaan plastik dan kemasan, serta penelitian Herman Supardi, H. Suratno, dan Suyanto (2016) pada perusahaan manufaktur, memberikan kontribusi tambahan bahwa variabel-variabel ini dapat memiliki dampak bersama terhadap kinerja keuangan.</w:t>
      </w:r>
    </w:p>
    <w:p w14:paraId="6224F7D5" w14:textId="77777777" w:rsidR="00B27652" w:rsidRPr="00B27652" w:rsidRDefault="00B27652" w:rsidP="00B27652">
      <w:pPr>
        <w:pBdr>
          <w:top w:val="nil"/>
          <w:left w:val="nil"/>
          <w:bottom w:val="nil"/>
          <w:right w:val="nil"/>
          <w:between w:val="nil"/>
        </w:pBdr>
        <w:ind w:left="180"/>
        <w:jc w:val="both"/>
        <w:rPr>
          <w:color w:val="000000"/>
        </w:rPr>
      </w:pPr>
      <w:r w:rsidRPr="00B27652">
        <w:rPr>
          <w:color w:val="000000"/>
        </w:rPr>
        <w:t>Dalam konteks industri pertambangan, temuan ini memberikan wawasan penting bagi para pelaku industri dan pihak terkait. Pengelolaan rasio keuangan seperti CR, DAR, dan TATO dapat menjadi kunci dalam meningkatkan NPM perusahaan tambang. Oleh karena itu, para pengambil kebijakan dapat mempertimbangkan hasil penelitian ini untuk merumuskan strategi keuangan yang lebih efektif.</w:t>
      </w:r>
    </w:p>
    <w:p w14:paraId="44283CCC" w14:textId="77777777" w:rsidR="00B27652" w:rsidRPr="00B27652" w:rsidRDefault="00B27652" w:rsidP="00B27652">
      <w:pPr>
        <w:pBdr>
          <w:top w:val="nil"/>
          <w:left w:val="nil"/>
          <w:bottom w:val="nil"/>
          <w:right w:val="nil"/>
          <w:between w:val="nil"/>
        </w:pBdr>
        <w:ind w:left="180"/>
        <w:jc w:val="both"/>
        <w:rPr>
          <w:color w:val="000000"/>
        </w:rPr>
      </w:pPr>
      <w:r w:rsidRPr="00B27652">
        <w:rPr>
          <w:color w:val="000000"/>
        </w:rPr>
        <w:t>Penelitian ini tidak hanya menghasilkan kontribusi teoritis dalam memperdalam pemahaman mengenai hubungan variabel keuangan, tetapi juga memberikan implikasi praktis bagi perusahaan tambang dalam mengelola portofolio keuangannya. Adanya hubungan yang signifikan antara CR, DAR, TATO, dan NPM memberikan landasan bagi perusahaan untuk meningkatkan kinerja keuangannya dengan lebih cermat.</w:t>
      </w:r>
    </w:p>
    <w:p w14:paraId="388458CC" w14:textId="6A5B1247" w:rsidR="00605002" w:rsidRDefault="00B27652" w:rsidP="00B27652">
      <w:pPr>
        <w:pBdr>
          <w:top w:val="nil"/>
          <w:left w:val="nil"/>
          <w:bottom w:val="nil"/>
          <w:right w:val="nil"/>
          <w:between w:val="nil"/>
        </w:pBdr>
        <w:ind w:left="180"/>
        <w:jc w:val="both"/>
        <w:rPr>
          <w:color w:val="000000"/>
        </w:rPr>
      </w:pPr>
      <w:r>
        <w:rPr>
          <w:color w:val="000000"/>
          <w:lang w:val="en-US"/>
        </w:rPr>
        <w:t>Penelitian</w:t>
      </w:r>
      <w:r w:rsidRPr="00B27652">
        <w:rPr>
          <w:color w:val="000000"/>
        </w:rPr>
        <w:t xml:space="preserve"> ini memberikan gambaran yang holistik mengenai pengaruh CR, DAR, dan TATO terhadap NPM pada perusahaan tambang. Dengan merinci temuan-temuan ini, diharapkan dapat memberikan kontribusi yang berarti bagi literatur keuangan dan memberikan panduan praktis bagi perusahaan untuk meningkatkan kinerja keuangannya.</w:t>
      </w:r>
    </w:p>
    <w:p w14:paraId="0A8E7235" w14:textId="77777777" w:rsidR="00D23798" w:rsidRDefault="00000000">
      <w:pPr>
        <w:ind w:left="180"/>
        <w:jc w:val="both"/>
        <w:rPr>
          <w:b/>
        </w:rPr>
      </w:pPr>
      <w:r>
        <w:rPr>
          <w:b/>
        </w:rPr>
        <w:lastRenderedPageBreak/>
        <w:t>DAFTAR PUSTAKA</w:t>
      </w:r>
    </w:p>
    <w:p w14:paraId="46E6B228" w14:textId="77777777" w:rsidR="00840CB3" w:rsidRDefault="00840CB3">
      <w:pPr>
        <w:ind w:left="180"/>
        <w:jc w:val="both"/>
        <w:rPr>
          <w:b/>
        </w:rPr>
      </w:pPr>
    </w:p>
    <w:p w14:paraId="7FF827C7" w14:textId="77777777" w:rsidR="0079385A" w:rsidRPr="0079385A" w:rsidRDefault="0079385A" w:rsidP="0079385A">
      <w:pPr>
        <w:ind w:left="1440" w:hanging="1260"/>
        <w:jc w:val="both"/>
        <w:rPr>
          <w:bCs/>
        </w:rPr>
      </w:pPr>
      <w:r w:rsidRPr="0079385A">
        <w:rPr>
          <w:bCs/>
        </w:rPr>
        <w:t>Agustiningrum, R. (2013). Analisis pengaruh CAR, NPL, dan LDR terhadap Profitabilitas pada Perusahaan Perbankan. Udayana University.</w:t>
      </w:r>
    </w:p>
    <w:p w14:paraId="1928E92B" w14:textId="77777777" w:rsidR="0079385A" w:rsidRPr="0079385A" w:rsidRDefault="0079385A" w:rsidP="0079385A">
      <w:pPr>
        <w:ind w:left="1440" w:hanging="1260"/>
        <w:jc w:val="both"/>
        <w:rPr>
          <w:bCs/>
        </w:rPr>
      </w:pPr>
      <w:r w:rsidRPr="0079385A">
        <w:rPr>
          <w:bCs/>
        </w:rPr>
        <w:t>Alpi, M. F., &amp; Gunawan, A. (2018). Pengaruh Current Ratio Dan Total Assets Turnover Terhadap Return on Assets Pada Perusahaan Plastik Dan Kemasan. Journal of Applied Managerial Accounting, 1(2), 157–163.</w:t>
      </w:r>
    </w:p>
    <w:p w14:paraId="1478F4D3" w14:textId="77777777" w:rsidR="0079385A" w:rsidRPr="0079385A" w:rsidRDefault="0079385A" w:rsidP="0079385A">
      <w:pPr>
        <w:ind w:left="1440" w:hanging="1260"/>
        <w:jc w:val="both"/>
        <w:rPr>
          <w:bCs/>
        </w:rPr>
      </w:pPr>
      <w:r w:rsidRPr="0079385A">
        <w:rPr>
          <w:bCs/>
        </w:rPr>
        <w:t>Amit, R., &amp; Shoemaker, P. (1993). Strategic Assets and Organizational Rent. Strategic Management Journal, 14(1), 33–46.</w:t>
      </w:r>
    </w:p>
    <w:p w14:paraId="7D83B2D7" w14:textId="77777777" w:rsidR="0079385A" w:rsidRPr="0079385A" w:rsidRDefault="0079385A" w:rsidP="0079385A">
      <w:pPr>
        <w:ind w:left="1440" w:hanging="1260"/>
        <w:jc w:val="both"/>
        <w:rPr>
          <w:bCs/>
        </w:rPr>
      </w:pPr>
      <w:r w:rsidRPr="0079385A">
        <w:rPr>
          <w:bCs/>
        </w:rPr>
        <w:t>Barney, J. (1991). Firm Resources and Sustained Competitive Advantage. Journal of Management, 17(1), 99–120.</w:t>
      </w:r>
    </w:p>
    <w:p w14:paraId="463C3BB9" w14:textId="77777777" w:rsidR="0079385A" w:rsidRPr="0079385A" w:rsidRDefault="0079385A" w:rsidP="0079385A">
      <w:pPr>
        <w:ind w:left="1440" w:hanging="1260"/>
        <w:jc w:val="both"/>
        <w:rPr>
          <w:bCs/>
        </w:rPr>
      </w:pPr>
      <w:r w:rsidRPr="0079385A">
        <w:rPr>
          <w:bCs/>
        </w:rPr>
        <w:t>Brigham, E. F., &amp; Houston, J. F. (2015). Fundamentals of Financial Management. Cengage Learning.</w:t>
      </w:r>
    </w:p>
    <w:p w14:paraId="1E131394" w14:textId="77777777" w:rsidR="0079385A" w:rsidRPr="0079385A" w:rsidRDefault="0079385A" w:rsidP="0079385A">
      <w:pPr>
        <w:ind w:left="1440" w:hanging="1260"/>
        <w:jc w:val="both"/>
        <w:rPr>
          <w:bCs/>
        </w:rPr>
      </w:pPr>
      <w:r w:rsidRPr="0079385A">
        <w:rPr>
          <w:bCs/>
        </w:rPr>
        <w:t>Deloof, M. (2003). Does Working Capital Management Affect Profitability of Belgian Firms? Journal of Business Finance &amp; Accounting, 30(3-4), 573-588. doi:10.1111/1468-5957.00006.</w:t>
      </w:r>
    </w:p>
    <w:p w14:paraId="0827EAA6" w14:textId="77777777" w:rsidR="0079385A" w:rsidRPr="0079385A" w:rsidRDefault="0079385A" w:rsidP="0079385A">
      <w:pPr>
        <w:ind w:left="1440" w:hanging="1260"/>
        <w:jc w:val="both"/>
        <w:rPr>
          <w:bCs/>
        </w:rPr>
      </w:pPr>
      <w:r w:rsidRPr="0079385A">
        <w:rPr>
          <w:bCs/>
        </w:rPr>
        <w:t>Efendi, A. F. W., &amp; Wibowo, S. S. A. (2017). Pengaruh Debt to Equity Ratio (DER) Dan Debt To Asset ratio (DAR) Terhadap Kinerja Perusahaan di sektor Keuangan yang Terdaftar di Bursa Efek Indonesia. Journal of Applied Managerial Accounting, 1(2), 157–163.</w:t>
      </w:r>
    </w:p>
    <w:p w14:paraId="01CCFF0C" w14:textId="77777777" w:rsidR="0079385A" w:rsidRPr="0079385A" w:rsidRDefault="0079385A" w:rsidP="0079385A">
      <w:pPr>
        <w:ind w:left="1440" w:hanging="1260"/>
        <w:jc w:val="both"/>
        <w:rPr>
          <w:bCs/>
        </w:rPr>
      </w:pPr>
      <w:r w:rsidRPr="0079385A">
        <w:rPr>
          <w:bCs/>
        </w:rPr>
        <w:t>Engel. (2014). Pengaruh ROA dan DAR Terhadap Harga Saham. Paper Knowledge . Toward a Media History of Documents, 12–22.</w:t>
      </w:r>
    </w:p>
    <w:p w14:paraId="18460BA5" w14:textId="77777777" w:rsidR="0079385A" w:rsidRPr="0079385A" w:rsidRDefault="0079385A" w:rsidP="0079385A">
      <w:pPr>
        <w:ind w:left="1440" w:hanging="1260"/>
        <w:jc w:val="both"/>
        <w:rPr>
          <w:bCs/>
        </w:rPr>
      </w:pPr>
      <w:r w:rsidRPr="0079385A">
        <w:rPr>
          <w:bCs/>
        </w:rPr>
        <w:t>Erari, A. (n.d.). Analisis Pengaruh Current Ratio, Debt To Equity Ratio, dan Return On Asset Terhadap Return Saham Pada Perusahaan Pertambangan di Bursa Efek Indonesia.</w:t>
      </w:r>
    </w:p>
    <w:p w14:paraId="02541BC7" w14:textId="77777777" w:rsidR="0079385A" w:rsidRPr="0079385A" w:rsidRDefault="0079385A" w:rsidP="0079385A">
      <w:pPr>
        <w:ind w:left="1440" w:hanging="1260"/>
        <w:jc w:val="both"/>
        <w:rPr>
          <w:bCs/>
        </w:rPr>
      </w:pPr>
      <w:r w:rsidRPr="0079385A">
        <w:rPr>
          <w:bCs/>
        </w:rPr>
        <w:t>Fraser, L. M., &amp; Ormiston, A. (2018). Understanding Financial Statements. Pearson.</w:t>
      </w:r>
    </w:p>
    <w:p w14:paraId="58E5CBAA" w14:textId="77777777" w:rsidR="0079385A" w:rsidRPr="0079385A" w:rsidRDefault="0079385A" w:rsidP="0079385A">
      <w:pPr>
        <w:ind w:left="1440" w:hanging="1260"/>
        <w:jc w:val="both"/>
        <w:rPr>
          <w:bCs/>
        </w:rPr>
      </w:pPr>
      <w:r w:rsidRPr="0079385A">
        <w:rPr>
          <w:bCs/>
        </w:rPr>
        <w:t>Gitman, L. J., &amp; Zutter, C. J. (2019). Principles of Managerial Finance. Pearson.</w:t>
      </w:r>
    </w:p>
    <w:p w14:paraId="120079FF" w14:textId="77777777" w:rsidR="0079385A" w:rsidRPr="0079385A" w:rsidRDefault="0079385A" w:rsidP="0079385A">
      <w:pPr>
        <w:ind w:left="1440" w:hanging="1260"/>
        <w:jc w:val="both"/>
        <w:rPr>
          <w:bCs/>
        </w:rPr>
      </w:pPr>
      <w:r w:rsidRPr="0079385A">
        <w:rPr>
          <w:bCs/>
        </w:rPr>
        <w:t>Halim, A. (2015). Akuntansi Keuangan Menengah. PT Salemba Empat.</w:t>
      </w:r>
    </w:p>
    <w:p w14:paraId="4FCC2F84" w14:textId="77777777" w:rsidR="0079385A" w:rsidRPr="0079385A" w:rsidRDefault="0079385A" w:rsidP="0079385A">
      <w:pPr>
        <w:ind w:left="1440" w:hanging="1260"/>
        <w:jc w:val="both"/>
        <w:rPr>
          <w:bCs/>
        </w:rPr>
      </w:pPr>
      <w:r w:rsidRPr="0079385A">
        <w:rPr>
          <w:bCs/>
        </w:rPr>
        <w:t>Harahap, S. S. (2018). Analisis Kritis Atas Laporan Keuangan. Jakarta: PT RajaGrafindo Persada.</w:t>
      </w:r>
    </w:p>
    <w:p w14:paraId="482E5C0B" w14:textId="77777777" w:rsidR="0079385A" w:rsidRPr="0079385A" w:rsidRDefault="0079385A" w:rsidP="0079385A">
      <w:pPr>
        <w:ind w:left="1440" w:hanging="1260"/>
        <w:jc w:val="both"/>
        <w:rPr>
          <w:bCs/>
        </w:rPr>
      </w:pPr>
      <w:r w:rsidRPr="0079385A">
        <w:rPr>
          <w:bCs/>
        </w:rPr>
        <w:t>Harahap, S. S. (2018). Analisis Kritis Laporan Keuangan. PT RajaGrafindo Persada.</w:t>
      </w:r>
    </w:p>
    <w:p w14:paraId="2049E62B" w14:textId="77777777" w:rsidR="0079385A" w:rsidRPr="0079385A" w:rsidRDefault="0079385A" w:rsidP="0079385A">
      <w:pPr>
        <w:ind w:left="1440" w:hanging="1260"/>
        <w:jc w:val="both"/>
        <w:rPr>
          <w:bCs/>
        </w:rPr>
      </w:pPr>
      <w:r w:rsidRPr="0079385A">
        <w:rPr>
          <w:bCs/>
        </w:rPr>
        <w:t>Herman Supardi, H. Suratno, dan Suyanto. (2016). Pengaruh Current Ratio (CR), Debt to Asset Ratio (DAR), Total Asset Turn Over (TATO) dan Inflasi terhadap Return on Asset (ROA) Pada Perusahaan Manufaktur yang Terdaftar di BEI. ROA. Journal name not provided.</w:t>
      </w:r>
    </w:p>
    <w:p w14:paraId="4BEEF0E6" w14:textId="77777777" w:rsidR="0079385A" w:rsidRPr="0079385A" w:rsidRDefault="0079385A" w:rsidP="0079385A">
      <w:pPr>
        <w:ind w:left="1440" w:hanging="1260"/>
        <w:jc w:val="both"/>
        <w:rPr>
          <w:bCs/>
        </w:rPr>
      </w:pPr>
      <w:r w:rsidRPr="0079385A">
        <w:rPr>
          <w:bCs/>
        </w:rPr>
        <w:t>Hitt, M. A., Ireland, R. D., &amp; Hoskisson, R. E. (2007). Strategic management: Concepts and cases. South-Western Cengage Learning.</w:t>
      </w:r>
    </w:p>
    <w:p w14:paraId="18CEDDD6" w14:textId="77777777" w:rsidR="0079385A" w:rsidRPr="0079385A" w:rsidRDefault="0079385A" w:rsidP="0079385A">
      <w:pPr>
        <w:ind w:left="1440" w:hanging="1260"/>
        <w:jc w:val="both"/>
        <w:rPr>
          <w:bCs/>
        </w:rPr>
      </w:pPr>
      <w:r w:rsidRPr="0079385A">
        <w:rPr>
          <w:bCs/>
        </w:rPr>
        <w:t>Horne, J. C., &amp; Wachowicz, J. M. (2015). Prinsip-Prinsip Manajemen Keuangan. Jakarta: Salemba Empat.</w:t>
      </w:r>
    </w:p>
    <w:p w14:paraId="3A94F931" w14:textId="77777777" w:rsidR="0079385A" w:rsidRPr="0079385A" w:rsidRDefault="0079385A" w:rsidP="0079385A">
      <w:pPr>
        <w:ind w:left="1440" w:hanging="1260"/>
        <w:jc w:val="both"/>
        <w:rPr>
          <w:bCs/>
        </w:rPr>
      </w:pPr>
      <w:r w:rsidRPr="0079385A">
        <w:rPr>
          <w:bCs/>
        </w:rPr>
        <w:t>Isworo., 2018. (2018). Pengaruh Rasio Profitabilitas Terhadap Harga Saham pada Perusahaan Manufaktur Sektor Industri Minuman yang Terdaftar di BEI 2012-2016.</w:t>
      </w:r>
    </w:p>
    <w:p w14:paraId="313D6262" w14:textId="77777777" w:rsidR="0079385A" w:rsidRPr="0079385A" w:rsidRDefault="0079385A" w:rsidP="0079385A">
      <w:pPr>
        <w:ind w:left="1440" w:hanging="1260"/>
        <w:jc w:val="both"/>
        <w:rPr>
          <w:bCs/>
        </w:rPr>
      </w:pPr>
      <w:r w:rsidRPr="0079385A">
        <w:rPr>
          <w:bCs/>
        </w:rPr>
        <w:t>J. P. Sitanggang. (2014). Manajemen Keuangan. Jakarta: Grasindo.</w:t>
      </w:r>
    </w:p>
    <w:p w14:paraId="20740378" w14:textId="77777777" w:rsidR="0079385A" w:rsidRPr="0079385A" w:rsidRDefault="0079385A" w:rsidP="0079385A">
      <w:pPr>
        <w:ind w:left="1440" w:hanging="1260"/>
        <w:jc w:val="both"/>
        <w:rPr>
          <w:bCs/>
        </w:rPr>
      </w:pPr>
      <w:r w:rsidRPr="0079385A">
        <w:rPr>
          <w:bCs/>
        </w:rPr>
        <w:t>Jones, C. (2019). Mining Technology Advancements. International Journal of Mining Science and Technology, 29(3), 323–331.</w:t>
      </w:r>
    </w:p>
    <w:p w14:paraId="62E981C9" w14:textId="77777777" w:rsidR="0079385A" w:rsidRPr="0079385A" w:rsidRDefault="0079385A" w:rsidP="0079385A">
      <w:pPr>
        <w:ind w:left="1440" w:hanging="1260"/>
        <w:jc w:val="both"/>
        <w:rPr>
          <w:bCs/>
        </w:rPr>
      </w:pPr>
      <w:r w:rsidRPr="0079385A">
        <w:rPr>
          <w:bCs/>
        </w:rPr>
        <w:t>Kasmir. (2014). Analisis Laporan Keuangan. Jakarta: PT RajaGrafindo Persada.</w:t>
      </w:r>
    </w:p>
    <w:p w14:paraId="2929F3B4" w14:textId="77777777" w:rsidR="0079385A" w:rsidRPr="0079385A" w:rsidRDefault="0079385A" w:rsidP="0079385A">
      <w:pPr>
        <w:ind w:left="1440" w:hanging="1260"/>
        <w:jc w:val="both"/>
        <w:rPr>
          <w:bCs/>
        </w:rPr>
      </w:pPr>
      <w:r w:rsidRPr="0079385A">
        <w:rPr>
          <w:bCs/>
        </w:rPr>
        <w:t>Lukman Syamsuddin. (2011). Manajemen Keuangan. Jakarta: Erlangga.</w:t>
      </w:r>
    </w:p>
    <w:p w14:paraId="49771941" w14:textId="77777777" w:rsidR="0079385A" w:rsidRPr="0079385A" w:rsidRDefault="0079385A" w:rsidP="0079385A">
      <w:pPr>
        <w:ind w:left="1440" w:hanging="1260"/>
        <w:jc w:val="both"/>
        <w:rPr>
          <w:bCs/>
        </w:rPr>
      </w:pPr>
    </w:p>
    <w:p w14:paraId="7910BCC9" w14:textId="77777777" w:rsidR="0079385A" w:rsidRPr="0079385A" w:rsidRDefault="0079385A" w:rsidP="0079385A">
      <w:pPr>
        <w:ind w:left="1440" w:hanging="1260"/>
        <w:jc w:val="both"/>
        <w:rPr>
          <w:bCs/>
        </w:rPr>
      </w:pPr>
      <w:r w:rsidRPr="0079385A">
        <w:rPr>
          <w:bCs/>
        </w:rPr>
        <w:lastRenderedPageBreak/>
        <w:t>Mahaputra, I. K. A., &amp; Rahyuda, H. (2016). Likuiditas Dan Leverage Sebagai Prediktor Textile And Garment Fakultas Ekonomi dan Bisnis Universitas Udayana, Bali, Indonesia Pasar modal merupakan lembaga perantara antara pihak yang membutuhkan dana dengan pihak yang kelebihan dana, dan sebagai lemb. 5(12), 7607–7637.</w:t>
      </w:r>
    </w:p>
    <w:p w14:paraId="09BFC41F" w14:textId="77777777" w:rsidR="0079385A" w:rsidRPr="0079385A" w:rsidRDefault="0079385A" w:rsidP="0079385A">
      <w:pPr>
        <w:ind w:left="1440" w:hanging="1260"/>
        <w:jc w:val="both"/>
        <w:rPr>
          <w:bCs/>
        </w:rPr>
      </w:pPr>
      <w:r w:rsidRPr="0079385A">
        <w:rPr>
          <w:bCs/>
        </w:rPr>
        <w:t>Manullang, M., &amp; Pakpahan. (2014). Metode Penelitian Hukum. Rajawali Press.</w:t>
      </w:r>
    </w:p>
    <w:p w14:paraId="79CB2BD7" w14:textId="77777777" w:rsidR="0079385A" w:rsidRPr="0079385A" w:rsidRDefault="0079385A" w:rsidP="0079385A">
      <w:pPr>
        <w:ind w:left="1440" w:hanging="1260"/>
        <w:jc w:val="both"/>
        <w:rPr>
          <w:bCs/>
        </w:rPr>
      </w:pPr>
      <w:r w:rsidRPr="0079385A">
        <w:rPr>
          <w:bCs/>
        </w:rPr>
        <w:t>Melinda, M., &amp; Ompusunggu, H. (2022). Analisis ROA, ROE dan NPM Terhadap Harga Saham Pada Perusahaan Manufaktur yang Terdaftar Di Bursa Efek Indonesia. ECo-Buss, 4(3), 450–461.</w:t>
      </w:r>
    </w:p>
    <w:p w14:paraId="6281C13E" w14:textId="77777777" w:rsidR="0079385A" w:rsidRPr="0079385A" w:rsidRDefault="0079385A" w:rsidP="0079385A">
      <w:pPr>
        <w:ind w:left="1440" w:hanging="1260"/>
        <w:jc w:val="both"/>
        <w:rPr>
          <w:bCs/>
        </w:rPr>
      </w:pPr>
      <w:r w:rsidRPr="0079385A">
        <w:rPr>
          <w:bCs/>
        </w:rPr>
        <w:t>M. Firza Alpi, dan Ade Gunawan. (2018). Pengaruh Current Ratio (CR), dan Total Asset Turn Over (TATO) terhadap Return on Asset (ROA) Pada Perusahaan Plastik dan Kemasan yang Terdaftar di BEI periode 2012 – 2016. ROA. Journal name not provided.</w:t>
      </w:r>
    </w:p>
    <w:p w14:paraId="6278E04E" w14:textId="77777777" w:rsidR="0079385A" w:rsidRPr="0079385A" w:rsidRDefault="0079385A" w:rsidP="0079385A">
      <w:pPr>
        <w:ind w:left="1440" w:hanging="1260"/>
        <w:jc w:val="both"/>
        <w:rPr>
          <w:bCs/>
        </w:rPr>
      </w:pPr>
      <w:r w:rsidRPr="0079385A">
        <w:rPr>
          <w:bCs/>
        </w:rPr>
        <w:t>Peteraf, M. (1993). The Cornerstones of Competitive Advantage: A Resource-Based View. Strategic Management Journal, 14(3), 179–191.</w:t>
      </w:r>
    </w:p>
    <w:p w14:paraId="4936EA30" w14:textId="77777777" w:rsidR="0079385A" w:rsidRPr="0079385A" w:rsidRDefault="0079385A" w:rsidP="0079385A">
      <w:pPr>
        <w:ind w:left="1440" w:hanging="1260"/>
        <w:jc w:val="both"/>
        <w:rPr>
          <w:bCs/>
        </w:rPr>
      </w:pPr>
      <w:r w:rsidRPr="0079385A">
        <w:rPr>
          <w:bCs/>
        </w:rPr>
        <w:t>Peteraf, M. (1993). The Cornerstones of Competitive Advantage: A Resource-Based View. Strategic Management Journal, 14(3), 179–191.</w:t>
      </w:r>
    </w:p>
    <w:p w14:paraId="075174EF" w14:textId="77777777" w:rsidR="0079385A" w:rsidRPr="0079385A" w:rsidRDefault="0079385A" w:rsidP="0079385A">
      <w:pPr>
        <w:ind w:left="1440" w:hanging="1260"/>
        <w:jc w:val="both"/>
        <w:rPr>
          <w:bCs/>
        </w:rPr>
      </w:pPr>
      <w:r w:rsidRPr="0079385A">
        <w:rPr>
          <w:bCs/>
        </w:rPr>
        <w:t>Prahalad, C. K., &amp; Hamel, G. (1990). The Core Competence of the Corporation. Harvard Business Review, 68(3), 79–91.</w:t>
      </w:r>
    </w:p>
    <w:p w14:paraId="1EF94BDA" w14:textId="77777777" w:rsidR="0079385A" w:rsidRPr="0079385A" w:rsidRDefault="0079385A" w:rsidP="0079385A">
      <w:pPr>
        <w:ind w:left="1440" w:hanging="1260"/>
        <w:jc w:val="both"/>
        <w:rPr>
          <w:bCs/>
        </w:rPr>
      </w:pPr>
      <w:r w:rsidRPr="0079385A">
        <w:rPr>
          <w:bCs/>
        </w:rPr>
        <w:t>Priambodo, B., &amp; Novitasari, M. (2019). PENGARUH LIKUIDITAS, SOLVABILITAS, PERPUTARAN MODAL KERJA TERHADAP PROFITABILITAS. SIMBA: Seminar Inovasi Manajemen, Bisnis, Dan Akuntansi, 1.</w:t>
      </w:r>
    </w:p>
    <w:p w14:paraId="0AF8526B" w14:textId="77777777" w:rsidR="0079385A" w:rsidRPr="0079385A" w:rsidRDefault="0079385A" w:rsidP="0079385A">
      <w:pPr>
        <w:ind w:left="1440" w:hanging="1260"/>
        <w:jc w:val="both"/>
        <w:rPr>
          <w:bCs/>
        </w:rPr>
      </w:pPr>
      <w:r w:rsidRPr="0079385A">
        <w:rPr>
          <w:bCs/>
        </w:rPr>
        <w:t>Ross, S. A., Westerfield, R. W., &amp; Jordan, B. D. (2018). Essentials of Corporate Finance. McGraw-Hill Education.</w:t>
      </w:r>
    </w:p>
    <w:p w14:paraId="56796713" w14:textId="77777777" w:rsidR="0079385A" w:rsidRPr="0079385A" w:rsidRDefault="0079385A" w:rsidP="0079385A">
      <w:pPr>
        <w:ind w:left="1440" w:hanging="1260"/>
        <w:jc w:val="both"/>
        <w:rPr>
          <w:bCs/>
        </w:rPr>
      </w:pPr>
      <w:r w:rsidRPr="0079385A">
        <w:rPr>
          <w:bCs/>
        </w:rPr>
        <w:t>Ross, S. A., Westerfield, R. W., &amp; Jordan, B. D. (2018). Fundamentals of Corporate Finance. McGraw-Hill Education.</w:t>
      </w:r>
    </w:p>
    <w:p w14:paraId="24A2C851" w14:textId="77777777" w:rsidR="0079385A" w:rsidRPr="0079385A" w:rsidRDefault="0079385A" w:rsidP="0079385A">
      <w:pPr>
        <w:ind w:left="1440" w:hanging="1260"/>
        <w:jc w:val="both"/>
        <w:rPr>
          <w:bCs/>
        </w:rPr>
      </w:pPr>
      <w:r w:rsidRPr="0079385A">
        <w:rPr>
          <w:bCs/>
        </w:rPr>
        <w:t>Smith, A. (2020). Liquidity Management in Mining Companies. International Journal of Finance and Economics, 25(4), 558–577.</w:t>
      </w:r>
    </w:p>
    <w:p w14:paraId="4F83D227" w14:textId="77777777" w:rsidR="0079385A" w:rsidRPr="0079385A" w:rsidRDefault="0079385A" w:rsidP="0079385A">
      <w:pPr>
        <w:ind w:left="1440" w:hanging="1260"/>
        <w:jc w:val="both"/>
        <w:rPr>
          <w:bCs/>
        </w:rPr>
      </w:pPr>
      <w:r w:rsidRPr="0079385A">
        <w:rPr>
          <w:bCs/>
        </w:rPr>
        <w:t>Sumber Daya Mineral Indonesia. (2021). Laporan Tahunan Industri Pertambangan 2021. Jakarta: Kementerian Energi dan Sumber Daya Mineral.</w:t>
      </w:r>
    </w:p>
    <w:p w14:paraId="28FE05AC" w14:textId="77777777" w:rsidR="0079385A" w:rsidRPr="0079385A" w:rsidRDefault="0079385A" w:rsidP="0079385A">
      <w:pPr>
        <w:ind w:left="1440" w:hanging="1260"/>
        <w:jc w:val="both"/>
        <w:rPr>
          <w:bCs/>
        </w:rPr>
      </w:pPr>
      <w:r w:rsidRPr="0079385A">
        <w:rPr>
          <w:bCs/>
        </w:rPr>
        <w:t>Sugiyono. (2016). Metode Penelitian Kuantitatif, Kualitatif, dan R&amp;D. Alfabeta.</w:t>
      </w:r>
    </w:p>
    <w:p w14:paraId="2507B13A" w14:textId="77777777" w:rsidR="0079385A" w:rsidRPr="0079385A" w:rsidRDefault="0079385A" w:rsidP="0079385A">
      <w:pPr>
        <w:ind w:left="1440" w:hanging="1260"/>
        <w:jc w:val="both"/>
        <w:rPr>
          <w:bCs/>
        </w:rPr>
      </w:pPr>
      <w:r w:rsidRPr="0079385A">
        <w:rPr>
          <w:bCs/>
        </w:rPr>
        <w:t>Sudana, I. M. (2011). Manajemen Keuangan Perusahaan: Pendekatan Praktis. Erlangga.</w:t>
      </w:r>
    </w:p>
    <w:p w14:paraId="52F5704E" w14:textId="099B853E" w:rsidR="0079385A" w:rsidRPr="0079385A" w:rsidRDefault="0079385A" w:rsidP="0079385A">
      <w:pPr>
        <w:ind w:left="1440" w:hanging="1260"/>
        <w:jc w:val="both"/>
        <w:rPr>
          <w:bCs/>
        </w:rPr>
      </w:pPr>
      <w:r w:rsidRPr="0079385A">
        <w:rPr>
          <w:bCs/>
        </w:rPr>
        <w:t>Suteja, I. G. N. (2018). Analisis kinerja keuangan dengan metode altman z-score pada PT Ace Hardware Indonesia Tbk. Moneter-Jurnal Akuntansi Dan Keuangan, 5(1), 12–17.</w:t>
      </w:r>
    </w:p>
    <w:p w14:paraId="00CFC024" w14:textId="2E534124" w:rsidR="0079385A" w:rsidRPr="0079385A" w:rsidRDefault="0079385A" w:rsidP="0079385A">
      <w:pPr>
        <w:ind w:left="1440" w:hanging="1260"/>
        <w:jc w:val="both"/>
        <w:rPr>
          <w:bCs/>
        </w:rPr>
      </w:pPr>
      <w:r w:rsidRPr="0079385A">
        <w:rPr>
          <w:bCs/>
        </w:rPr>
        <w:t>Tanjaya, V., Harahap, S., &amp; Elidawati, E. (2021). Pengaruh Struktur Aktiva Dan Pertumbuhan Penjualan Terhadap Struktur Modal Dengan Profitabilitas Sebagai Variabel Intervening Pada Pt Nickerson Star Multi Perkasa Medan. Jurnal Bisnis Kolega, 7(2).</w:t>
      </w:r>
    </w:p>
    <w:p w14:paraId="633C9B9A" w14:textId="4AF6BC99" w:rsidR="0079385A" w:rsidRPr="0079385A" w:rsidRDefault="0079385A" w:rsidP="0079385A">
      <w:pPr>
        <w:ind w:left="1440" w:hanging="1260"/>
        <w:jc w:val="both"/>
        <w:rPr>
          <w:bCs/>
        </w:rPr>
      </w:pPr>
      <w:r w:rsidRPr="0079385A">
        <w:rPr>
          <w:bCs/>
        </w:rPr>
        <w:t>Wernerfelt, B. (1984). A Resource-Based View of the Firm. Strategic Management Journal, 5(2), 171–180.</w:t>
      </w:r>
    </w:p>
    <w:p w14:paraId="272A5E94" w14:textId="77777777" w:rsidR="0079385A" w:rsidRPr="0079385A" w:rsidRDefault="0079385A" w:rsidP="0079385A">
      <w:pPr>
        <w:ind w:left="1440" w:hanging="1260"/>
        <w:jc w:val="both"/>
        <w:rPr>
          <w:bCs/>
        </w:rPr>
      </w:pPr>
      <w:r w:rsidRPr="0079385A">
        <w:rPr>
          <w:bCs/>
        </w:rPr>
        <w:t>Weston, J. F., &amp; Brigham, E. F. (2020). Essentials of Financial Management. Cengage Learning.</w:t>
      </w:r>
    </w:p>
    <w:p w14:paraId="51E23861" w14:textId="77777777" w:rsidR="0079385A" w:rsidRPr="0079385A" w:rsidRDefault="0079385A" w:rsidP="0079385A">
      <w:pPr>
        <w:ind w:left="1440" w:hanging="1260"/>
        <w:jc w:val="both"/>
        <w:rPr>
          <w:bCs/>
        </w:rPr>
      </w:pPr>
      <w:r w:rsidRPr="0079385A">
        <w:rPr>
          <w:bCs/>
        </w:rPr>
        <w:t>Wenny Anggeresia Ginting. (2018). Analisis Pengaruh Current Ratio (CR), Working Capital Turn Over (WCTO), Dan Total Asset Turn Over (TATO) Terhadap Return On Asset (ROA) Pada Perusahaan Properti Dan Real Estate Yang Terdaftar Di BEI. ROA. Journal name not provided.</w:t>
      </w:r>
    </w:p>
    <w:p w14:paraId="09DFB60C" w14:textId="76AE0E19" w:rsidR="0079385A" w:rsidRPr="0079385A" w:rsidRDefault="0079385A" w:rsidP="0079385A">
      <w:pPr>
        <w:ind w:left="1440" w:hanging="1260"/>
        <w:jc w:val="both"/>
        <w:rPr>
          <w:bCs/>
        </w:rPr>
      </w:pPr>
      <w:r w:rsidRPr="0079385A">
        <w:rPr>
          <w:bCs/>
        </w:rPr>
        <w:lastRenderedPageBreak/>
        <w:t>Wright, P. (2003). Debt Management Strategies in the Mining Industry. Journal of Financial Economics, 68(3), 531–569.</w:t>
      </w:r>
    </w:p>
    <w:p w14:paraId="7018A98B" w14:textId="66578D46" w:rsidR="00B27652" w:rsidRDefault="0079385A" w:rsidP="0079385A">
      <w:pPr>
        <w:ind w:left="1440" w:hanging="1260"/>
        <w:jc w:val="both"/>
        <w:rPr>
          <w:bCs/>
        </w:rPr>
      </w:pPr>
      <w:r w:rsidRPr="0079385A">
        <w:rPr>
          <w:bCs/>
        </w:rPr>
        <w:t>Yanuardi, Y., &amp; Permana, A. A. (2019). Rancang Bangun Sistem Informasi Keuangan Pada Pt. Secret Discoveries Travel and Leisure Berbasis Web. JIKA (Jurnal Informatika), 2(2).</w:t>
      </w:r>
    </w:p>
    <w:p w14:paraId="7FC51FDA" w14:textId="77777777" w:rsidR="0079385A" w:rsidRDefault="0079385A" w:rsidP="0079385A">
      <w:pPr>
        <w:ind w:left="1440" w:hanging="1260"/>
        <w:jc w:val="both"/>
        <w:rPr>
          <w:bCs/>
        </w:rPr>
      </w:pPr>
    </w:p>
    <w:p w14:paraId="13E30A10" w14:textId="77777777" w:rsidR="0079385A" w:rsidRDefault="0079385A" w:rsidP="0079385A">
      <w:pPr>
        <w:ind w:left="1440" w:hanging="1260"/>
        <w:jc w:val="both"/>
      </w:pPr>
      <w:r>
        <w:t>Website</w:t>
      </w:r>
    </w:p>
    <w:p w14:paraId="0805BDC4" w14:textId="77777777" w:rsidR="0079385A" w:rsidRDefault="0079385A" w:rsidP="0079385A">
      <w:pPr>
        <w:ind w:left="1440" w:hanging="1260"/>
        <w:jc w:val="both"/>
      </w:pPr>
      <w:r>
        <w:t>www.dataindustri.com</w:t>
      </w:r>
    </w:p>
    <w:p w14:paraId="5F4DB349" w14:textId="77777777" w:rsidR="0079385A" w:rsidRDefault="0079385A" w:rsidP="0079385A">
      <w:pPr>
        <w:ind w:left="1440" w:hanging="1260"/>
        <w:jc w:val="both"/>
      </w:pPr>
      <w:r>
        <w:t>www.hots.mirraeasset.co.id</w:t>
      </w:r>
    </w:p>
    <w:p w14:paraId="42E3E25E" w14:textId="77777777" w:rsidR="0079385A" w:rsidRDefault="0079385A" w:rsidP="0079385A">
      <w:pPr>
        <w:ind w:left="1440" w:hanging="1260"/>
        <w:jc w:val="both"/>
      </w:pPr>
      <w:r>
        <w:t>www.idx.co.id</w:t>
      </w:r>
    </w:p>
    <w:p w14:paraId="3B700ABD" w14:textId="77777777" w:rsidR="0079385A" w:rsidRDefault="0079385A" w:rsidP="0079385A">
      <w:pPr>
        <w:ind w:left="1440" w:hanging="1260"/>
        <w:jc w:val="both"/>
      </w:pPr>
      <w:r>
        <w:t>www.m.bisnis.com</w:t>
      </w:r>
    </w:p>
    <w:p w14:paraId="3BB7FC7F" w14:textId="5458BF4A" w:rsidR="0079385A" w:rsidRDefault="0079385A" w:rsidP="0079385A">
      <w:pPr>
        <w:ind w:left="1440" w:hanging="1260"/>
        <w:jc w:val="both"/>
      </w:pPr>
      <w:r>
        <w:t>www.sahamok.com</w:t>
      </w:r>
    </w:p>
    <w:sectPr w:rsidR="0079385A" w:rsidSect="006A64A5">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620"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4349" w14:textId="77777777" w:rsidR="00D6715E" w:rsidRDefault="00D6715E">
      <w:r>
        <w:separator/>
      </w:r>
    </w:p>
  </w:endnote>
  <w:endnote w:type="continuationSeparator" w:id="0">
    <w:p w14:paraId="0A850E45" w14:textId="77777777" w:rsidR="00D6715E" w:rsidRDefault="00D6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FA95" w14:textId="77777777" w:rsidR="00D23798" w:rsidRDefault="00D2379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89F7" w14:textId="77777777" w:rsidR="00D23798" w:rsidRDefault="00D23798">
    <w:pPr>
      <w:pBdr>
        <w:top w:val="nil"/>
        <w:left w:val="nil"/>
        <w:bottom w:val="nil"/>
        <w:right w:val="nil"/>
        <w:between w:val="nil"/>
      </w:pBdr>
      <w:tabs>
        <w:tab w:val="center" w:pos="4680"/>
        <w:tab w:val="right" w:pos="9360"/>
      </w:tabs>
      <w:jc w:val="right"/>
      <w:rPr>
        <w:b/>
        <w:color w:val="000000"/>
        <w:sz w:val="20"/>
        <w:szCs w:val="20"/>
      </w:rPr>
    </w:pPr>
  </w:p>
  <w:p w14:paraId="6B6D771C" w14:textId="77777777" w:rsidR="00D23798" w:rsidRDefault="00000000">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JUDUL ARTIKEL DITULIS DENGAN HURUF KAPITAL TIMES NEW ROMAN 9 </w:t>
    </w:r>
  </w:p>
  <w:p w14:paraId="617F57B8" w14:textId="77777777" w:rsidR="00D23798" w:rsidRDefault="00000000">
    <w:pPr>
      <w:tabs>
        <w:tab w:val="center" w:pos="4680"/>
        <w:tab w:val="right" w:pos="9360"/>
      </w:tabs>
      <w:jc w:val="center"/>
      <w:rPr>
        <w:color w:val="000000"/>
        <w:sz w:val="18"/>
        <w:szCs w:val="18"/>
      </w:rPr>
    </w:pPr>
    <w:r>
      <w:rPr>
        <w:sz w:val="18"/>
        <w:szCs w:val="18"/>
      </w:rPr>
      <w:t>(Nama Penulis 1, Nama Penulis 2, Nama Penulis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D942" w14:textId="77777777" w:rsidR="00D23798" w:rsidRDefault="00000000">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ISSN: 1412 - 3681 (</w:t>
    </w:r>
    <w:r>
      <w:rPr>
        <w:sz w:val="20"/>
        <w:szCs w:val="20"/>
      </w:rPr>
      <w:t>cetak</w:t>
    </w:r>
    <w:r>
      <w:rPr>
        <w:color w:val="000000"/>
        <w:sz w:val="20"/>
        <w:szCs w:val="20"/>
      </w:rPr>
      <w:t xml:space="preserve">), ISSN: 2442 - 4617 (online), </w:t>
    </w:r>
  </w:p>
  <w:p w14:paraId="018F75F9" w14:textId="77777777" w:rsidR="00D23798" w:rsidRDefault="00000000">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https://journal.moestopo.ac.id/index.php/jakpi</w:t>
    </w:r>
  </w:p>
  <w:p w14:paraId="77AD7F63" w14:textId="77777777" w:rsidR="00D23798" w:rsidRDefault="00D23798">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7799" w14:textId="77777777" w:rsidR="00D6715E" w:rsidRDefault="00D6715E">
      <w:r>
        <w:separator/>
      </w:r>
    </w:p>
  </w:footnote>
  <w:footnote w:type="continuationSeparator" w:id="0">
    <w:p w14:paraId="5354A951" w14:textId="77777777" w:rsidR="00D6715E" w:rsidRDefault="00D67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470F" w14:textId="77777777" w:rsidR="00D23798" w:rsidRDefault="00D2379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F69B" w14:textId="77777777" w:rsidR="00D23798"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346220">
      <w:rPr>
        <w:noProof/>
        <w:color w:val="000000"/>
      </w:rPr>
      <w:t>2</w:t>
    </w:r>
    <w:r>
      <w:rPr>
        <w:color w:val="000000"/>
      </w:rPr>
      <w:fldChar w:fldCharType="end"/>
    </w:r>
  </w:p>
  <w:p w14:paraId="644D73F2" w14:textId="77777777" w:rsidR="00D23798" w:rsidRDefault="00000000">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14:paraId="0A65EA60" w14:textId="77777777" w:rsidR="00D23798" w:rsidRDefault="00000000">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14:paraId="02DD2817" w14:textId="77777777" w:rsidR="00D23798" w:rsidRDefault="00D23798">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8296" w14:textId="77777777" w:rsidR="00D23798"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346220">
      <w:rPr>
        <w:noProof/>
        <w:color w:val="000000"/>
      </w:rPr>
      <w:t>1</w:t>
    </w:r>
    <w:r>
      <w:rPr>
        <w:color w:val="000000"/>
      </w:rPr>
      <w:fldChar w:fldCharType="end"/>
    </w:r>
  </w:p>
  <w:p w14:paraId="14A3A7CF" w14:textId="77777777" w:rsidR="00D23798" w:rsidRDefault="00000000">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14:paraId="656978A7" w14:textId="77777777" w:rsidR="00D23798" w:rsidRDefault="00000000">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14:paraId="1A469150" w14:textId="77777777" w:rsidR="00D23798" w:rsidRDefault="00D23798">
    <w:pPr>
      <w:pBdr>
        <w:top w:val="nil"/>
        <w:left w:val="nil"/>
        <w:bottom w:val="nil"/>
        <w:right w:val="nil"/>
        <w:between w:val="nil"/>
      </w:pBdr>
      <w:tabs>
        <w:tab w:val="center" w:pos="4680"/>
        <w:tab w:val="right" w:pos="9360"/>
      </w:tabs>
      <w:jc w:val="right"/>
      <w:rPr>
        <w:color w:val="000000"/>
      </w:rPr>
    </w:pPr>
  </w:p>
  <w:p w14:paraId="20415A18" w14:textId="77777777" w:rsidR="00D23798" w:rsidRDefault="00D2379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1A3B"/>
    <w:multiLevelType w:val="hybridMultilevel"/>
    <w:tmpl w:val="DCF891DE"/>
    <w:lvl w:ilvl="0" w:tplc="3809000F">
      <w:start w:val="1"/>
      <w:numFmt w:val="decimal"/>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num w:numId="1" w16cid:durableId="75020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98"/>
    <w:rsid w:val="001C7FE0"/>
    <w:rsid w:val="00221A65"/>
    <w:rsid w:val="00230722"/>
    <w:rsid w:val="00234A05"/>
    <w:rsid w:val="002923BE"/>
    <w:rsid w:val="002B59A8"/>
    <w:rsid w:val="00346220"/>
    <w:rsid w:val="00432708"/>
    <w:rsid w:val="004A6735"/>
    <w:rsid w:val="00537F12"/>
    <w:rsid w:val="005472B8"/>
    <w:rsid w:val="005B73B8"/>
    <w:rsid w:val="00605002"/>
    <w:rsid w:val="00621DF6"/>
    <w:rsid w:val="006A64A5"/>
    <w:rsid w:val="006D0608"/>
    <w:rsid w:val="0079385A"/>
    <w:rsid w:val="007B077A"/>
    <w:rsid w:val="008051FA"/>
    <w:rsid w:val="00840CB3"/>
    <w:rsid w:val="0084688F"/>
    <w:rsid w:val="00956B90"/>
    <w:rsid w:val="009A47AE"/>
    <w:rsid w:val="009F3505"/>
    <w:rsid w:val="00AB0C89"/>
    <w:rsid w:val="00B27652"/>
    <w:rsid w:val="00B37C1F"/>
    <w:rsid w:val="00BA168D"/>
    <w:rsid w:val="00BB0467"/>
    <w:rsid w:val="00BF21FD"/>
    <w:rsid w:val="00CC03A7"/>
    <w:rsid w:val="00CF628D"/>
    <w:rsid w:val="00D23798"/>
    <w:rsid w:val="00D6715E"/>
    <w:rsid w:val="00DD0A41"/>
    <w:rsid w:val="00E75C3C"/>
    <w:rsid w:val="00EA53DB"/>
    <w:rsid w:val="00EF3C6C"/>
    <w:rsid w:val="00F826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70AE"/>
  <w15:docId w15:val="{D3767C9C-5644-452F-B673-ECCCE859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346220"/>
    <w:rPr>
      <w:color w:val="0000FF" w:themeColor="hyperlink"/>
      <w:u w:val="single"/>
    </w:rPr>
  </w:style>
  <w:style w:type="character" w:styleId="UnresolvedMention">
    <w:name w:val="Unresolved Mention"/>
    <w:basedOn w:val="DefaultParagraphFont"/>
    <w:uiPriority w:val="99"/>
    <w:semiHidden/>
    <w:unhideWhenUsed/>
    <w:rsid w:val="00346220"/>
    <w:rPr>
      <w:color w:val="605E5C"/>
      <w:shd w:val="clear" w:color="auto" w:fill="E1DFDD"/>
    </w:rPr>
  </w:style>
  <w:style w:type="paragraph" w:styleId="ListParagraph">
    <w:name w:val="List Paragraph"/>
    <w:basedOn w:val="Normal"/>
    <w:uiPriority w:val="34"/>
    <w:qFormat/>
    <w:rsid w:val="00EA53DB"/>
    <w:pPr>
      <w:spacing w:after="160" w:line="259" w:lineRule="auto"/>
      <w:ind w:left="720"/>
      <w:contextualSpacing/>
    </w:pPr>
    <w:rPr>
      <w:rFonts w:asciiTheme="minorHAnsi" w:eastAsiaTheme="minorHAnsi" w:hAnsiTheme="minorHAnsi" w:cstheme="minorBidi"/>
      <w:sz w:val="22"/>
      <w:szCs w:val="22"/>
      <w:lang w:val="en-ID" w:eastAsia="en-US"/>
    </w:rPr>
  </w:style>
  <w:style w:type="table" w:styleId="TableGrid">
    <w:name w:val="Table Grid"/>
    <w:basedOn w:val="TableNormal"/>
    <w:uiPriority w:val="39"/>
    <w:rsid w:val="002B5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0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bartobing@ipwij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nxxPGtFxrfpGZrY7A9j5xZo4w==">CgMxLjA4AHIhMXpaSnJpbGRKNF9NNmpPVzUzUmx6MmtzUi02Qkh0TmNf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21</Pages>
  <Words>8897</Words>
  <Characters>50716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ASUS</cp:lastModifiedBy>
  <cp:revision>16</cp:revision>
  <dcterms:created xsi:type="dcterms:W3CDTF">2023-06-22T07:35:00Z</dcterms:created>
  <dcterms:modified xsi:type="dcterms:W3CDTF">2023-12-29T00:35:00Z</dcterms:modified>
</cp:coreProperties>
</file>